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5300"/>
      </w:tblGrid>
      <w:tr w:rsidR="00DC2B90" w:rsidRPr="00DC2B90" w:rsidTr="005B5BAD">
        <w:trPr>
          <w:trHeight w:val="1560"/>
        </w:trPr>
        <w:tc>
          <w:tcPr>
            <w:tcW w:w="4308" w:type="dxa"/>
            <w:tcBorders>
              <w:top w:val="nil"/>
              <w:left w:val="nil"/>
              <w:bottom w:val="nil"/>
              <w:right w:val="nil"/>
            </w:tcBorders>
          </w:tcPr>
          <w:p w:rsidR="00025292" w:rsidRPr="00DC2B90" w:rsidRDefault="00025292" w:rsidP="005B5BAD">
            <w:pPr>
              <w:spacing w:after="0" w:line="240" w:lineRule="auto"/>
              <w:jc w:val="center"/>
              <w:rPr>
                <w:rFonts w:ascii="Times New Roman" w:eastAsia="Times New Roman" w:hAnsi="Times New Roman" w:cs="Times New Roman"/>
                <w:sz w:val="24"/>
                <w:szCs w:val="24"/>
              </w:rPr>
            </w:pPr>
            <w:r w:rsidRPr="00DC2B90">
              <w:rPr>
                <w:rFonts w:ascii="Times New Roman" w:eastAsia="Times New Roman" w:hAnsi="Times New Roman" w:cs="Times New Roman"/>
                <w:sz w:val="24"/>
                <w:szCs w:val="24"/>
              </w:rPr>
              <w:t>QUỐC HỘI KHÓA XV</w:t>
            </w:r>
          </w:p>
          <w:p w:rsidR="00025292" w:rsidRPr="00DC2B90" w:rsidRDefault="00025292" w:rsidP="005B5BAD">
            <w:pPr>
              <w:spacing w:after="0" w:line="240" w:lineRule="auto"/>
              <w:jc w:val="center"/>
              <w:rPr>
                <w:rFonts w:ascii="Times New Roman" w:eastAsia="Times New Roman" w:hAnsi="Times New Roman" w:cs="Times New Roman"/>
                <w:b/>
                <w:sz w:val="24"/>
                <w:szCs w:val="24"/>
              </w:rPr>
            </w:pPr>
            <w:r w:rsidRPr="00DC2B90">
              <w:rPr>
                <w:rFonts w:ascii="Times New Roman" w:eastAsia="Times New Roman" w:hAnsi="Times New Roman" w:cs="Times New Roman"/>
                <w:b/>
                <w:sz w:val="24"/>
                <w:szCs w:val="24"/>
              </w:rPr>
              <w:t>ỦY BAN TÀI CHÍNH, NGÂN SÁCH</w:t>
            </w:r>
          </w:p>
          <w:p w:rsidR="00025292" w:rsidRPr="00DC2B90" w:rsidRDefault="00025292" w:rsidP="005B5BAD">
            <w:pPr>
              <w:spacing w:after="0" w:line="240" w:lineRule="auto"/>
              <w:jc w:val="center"/>
              <w:rPr>
                <w:rFonts w:ascii="Times New Roman" w:eastAsia="Times New Roman" w:hAnsi="Times New Roman" w:cs="Times New Roman"/>
                <w:b/>
                <w:sz w:val="24"/>
                <w:szCs w:val="24"/>
              </w:rPr>
            </w:pPr>
            <w:r w:rsidRPr="00DC2B90">
              <w:rPr>
                <w:rFonts w:ascii="Times New Roman" w:hAnsi="Times New Roman" w:cs="Times New Roman"/>
                <w:noProof/>
              </w:rPr>
              <mc:AlternateContent>
                <mc:Choice Requires="wps">
                  <w:drawing>
                    <wp:anchor distT="4294967293" distB="4294967293" distL="114300" distR="114300" simplePos="0" relativeHeight="251658240" behindDoc="0" locked="0" layoutInCell="1" allowOverlap="1">
                      <wp:simplePos x="0" y="0"/>
                      <wp:positionH relativeFrom="column">
                        <wp:posOffset>515620</wp:posOffset>
                      </wp:positionH>
                      <wp:positionV relativeFrom="paragraph">
                        <wp:posOffset>30479</wp:posOffset>
                      </wp:positionV>
                      <wp:extent cx="14897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7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775E15" id="Straight Connector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6pt,2.4pt" to="157.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"/>
                  </w:pict>
                </mc:Fallback>
              </mc:AlternateContent>
            </w:r>
            <w:r w:rsidRPr="00DC2B90">
              <w:rPr>
                <w:rFonts w:ascii="Times New Roman" w:eastAsia="Times New Roman" w:hAnsi="Times New Roman" w:cs="Times New Roman"/>
                <w:sz w:val="24"/>
                <w:szCs w:val="24"/>
              </w:rPr>
              <w:t xml:space="preserve"> </w:t>
            </w:r>
          </w:p>
          <w:p w:rsidR="00025292" w:rsidRPr="00DC2B90" w:rsidRDefault="00025292" w:rsidP="005B5BAD">
            <w:pPr>
              <w:spacing w:after="0" w:line="240" w:lineRule="auto"/>
              <w:jc w:val="center"/>
              <w:rPr>
                <w:rFonts w:ascii="Times New Roman" w:eastAsia="Times New Roman" w:hAnsi="Times New Roman" w:cs="Times New Roman"/>
                <w:sz w:val="26"/>
                <w:szCs w:val="26"/>
              </w:rPr>
            </w:pPr>
          </w:p>
          <w:p w:rsidR="00025292" w:rsidRPr="00DC2B90" w:rsidRDefault="00025292" w:rsidP="005B5BAD">
            <w:pPr>
              <w:spacing w:after="0" w:line="240" w:lineRule="auto"/>
              <w:jc w:val="center"/>
              <w:rPr>
                <w:rFonts w:ascii="Times New Roman" w:eastAsia="Times New Roman" w:hAnsi="Times New Roman" w:cs="Times New Roman"/>
                <w:sz w:val="26"/>
                <w:szCs w:val="26"/>
              </w:rPr>
            </w:pPr>
          </w:p>
        </w:tc>
        <w:tc>
          <w:tcPr>
            <w:tcW w:w="5300" w:type="dxa"/>
            <w:tcBorders>
              <w:top w:val="nil"/>
              <w:left w:val="nil"/>
              <w:bottom w:val="nil"/>
              <w:right w:val="nil"/>
            </w:tcBorders>
          </w:tcPr>
          <w:p w:rsidR="00025292" w:rsidRPr="00DC2B90" w:rsidRDefault="00025292" w:rsidP="005B5BAD">
            <w:pPr>
              <w:spacing w:after="0" w:line="240" w:lineRule="auto"/>
              <w:jc w:val="center"/>
              <w:rPr>
                <w:rFonts w:ascii="Times New Roman" w:eastAsia="Times New Roman" w:hAnsi="Times New Roman" w:cs="Times New Roman"/>
                <w:b/>
                <w:sz w:val="24"/>
                <w:szCs w:val="24"/>
              </w:rPr>
            </w:pPr>
            <w:r w:rsidRPr="00DC2B90">
              <w:rPr>
                <w:rFonts w:ascii="Times New Roman" w:eastAsia="Times New Roman" w:hAnsi="Times New Roman" w:cs="Times New Roman"/>
                <w:b/>
                <w:sz w:val="24"/>
                <w:szCs w:val="24"/>
              </w:rPr>
              <w:t>CỘNG HÒA XÃ HỘI CHỦ NGHĨA VIỆT NAM</w:t>
            </w:r>
          </w:p>
          <w:p w:rsidR="00025292" w:rsidRPr="00DC2B90" w:rsidRDefault="00025292" w:rsidP="005B5BAD">
            <w:pPr>
              <w:spacing w:after="0" w:line="240" w:lineRule="auto"/>
              <w:jc w:val="center"/>
              <w:rPr>
                <w:rFonts w:ascii="Times New Roman" w:eastAsia="Times New Roman" w:hAnsi="Times New Roman" w:cs="Times New Roman"/>
                <w:b/>
                <w:sz w:val="26"/>
                <w:szCs w:val="26"/>
              </w:rPr>
            </w:pPr>
            <w:r w:rsidRPr="00DC2B90">
              <w:rPr>
                <w:rFonts w:ascii="Times New Roman" w:eastAsia="Times New Roman" w:hAnsi="Times New Roman" w:cs="Times New Roman"/>
                <w:b/>
                <w:sz w:val="26"/>
                <w:szCs w:val="26"/>
              </w:rPr>
              <w:t>Độc lập - Tự do - Hạnh phúc</w:t>
            </w:r>
          </w:p>
          <w:p w:rsidR="00025292" w:rsidRPr="00DC2B90" w:rsidRDefault="00025292" w:rsidP="005B5BAD">
            <w:pPr>
              <w:tabs>
                <w:tab w:val="left" w:pos="390"/>
                <w:tab w:val="center" w:pos="2778"/>
              </w:tabs>
              <w:spacing w:after="0" w:line="240" w:lineRule="auto"/>
              <w:rPr>
                <w:rFonts w:ascii="Times New Roman" w:eastAsia="Times New Roman" w:hAnsi="Times New Roman" w:cs="Times New Roman"/>
                <w:b/>
                <w:sz w:val="24"/>
                <w:szCs w:val="24"/>
              </w:rPr>
            </w:pPr>
            <w:r w:rsidRPr="00DC2B90">
              <w:rPr>
                <w:rFonts w:ascii="Times New Roman" w:hAnsi="Times New Roman" w:cs="Times New Roman"/>
                <w:noProof/>
              </w:rPr>
              <mc:AlternateContent>
                <mc:Choice Requires="wps">
                  <w:drawing>
                    <wp:anchor distT="4294967293" distB="4294967293" distL="114300" distR="114300" simplePos="0" relativeHeight="251658240" behindDoc="0" locked="0" layoutInCell="1" allowOverlap="1">
                      <wp:simplePos x="0" y="0"/>
                      <wp:positionH relativeFrom="column">
                        <wp:posOffset>638175</wp:posOffset>
                      </wp:positionH>
                      <wp:positionV relativeFrom="paragraph">
                        <wp:posOffset>31749</wp:posOffset>
                      </wp:positionV>
                      <wp:extent cx="1981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5B9703"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25pt,2.5pt" to="206.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"/>
                  </w:pict>
                </mc:Fallback>
              </mc:AlternateContent>
            </w:r>
            <w:r w:rsidRPr="00DC2B90">
              <w:rPr>
                <w:rFonts w:ascii="Times New Roman" w:eastAsia="Times New Roman" w:hAnsi="Times New Roman" w:cs="Times New Roman"/>
                <w:b/>
                <w:sz w:val="24"/>
                <w:szCs w:val="24"/>
              </w:rPr>
              <w:tab/>
            </w:r>
            <w:r w:rsidRPr="00DC2B90">
              <w:rPr>
                <w:rFonts w:ascii="Times New Roman" w:eastAsia="Times New Roman" w:hAnsi="Times New Roman" w:cs="Times New Roman"/>
                <w:b/>
                <w:sz w:val="24"/>
                <w:szCs w:val="24"/>
              </w:rPr>
              <w:tab/>
            </w:r>
          </w:p>
          <w:p w:rsidR="00025292" w:rsidRPr="00DC2B90" w:rsidRDefault="00025292" w:rsidP="005B5BAD">
            <w:pPr>
              <w:spacing w:after="0" w:line="240" w:lineRule="auto"/>
              <w:jc w:val="center"/>
              <w:rPr>
                <w:rFonts w:ascii="Times New Roman" w:eastAsia="Times New Roman" w:hAnsi="Times New Roman" w:cs="Times New Roman"/>
                <w:i/>
                <w:sz w:val="28"/>
                <w:szCs w:val="28"/>
              </w:rPr>
            </w:pPr>
            <w:r w:rsidRPr="00DC2B90">
              <w:rPr>
                <w:rFonts w:ascii="Times New Roman" w:eastAsia="Times New Roman" w:hAnsi="Times New Roman" w:cs="Times New Roman"/>
                <w:i/>
                <w:sz w:val="24"/>
                <w:szCs w:val="24"/>
              </w:rPr>
              <w:t xml:space="preserve">        </w:t>
            </w:r>
            <w:r w:rsidRPr="00DC2B90">
              <w:rPr>
                <w:rFonts w:ascii="Times New Roman" w:eastAsia="Times New Roman" w:hAnsi="Times New Roman" w:cs="Times New Roman"/>
                <w:i/>
                <w:sz w:val="28"/>
                <w:szCs w:val="28"/>
              </w:rPr>
              <w:t>Hà Nội, ngày 21 tháng 11 năm 2024</w:t>
            </w:r>
          </w:p>
        </w:tc>
      </w:tr>
    </w:tbl>
    <w:p w:rsidR="00025292" w:rsidRPr="00DC2B90" w:rsidRDefault="00025292" w:rsidP="00025292">
      <w:pPr>
        <w:spacing w:after="0" w:line="240" w:lineRule="auto"/>
        <w:jc w:val="center"/>
        <w:rPr>
          <w:rFonts w:ascii="Times New Roman" w:eastAsia="Times New Roman" w:hAnsi="Times New Roman" w:cs="Times New Roman"/>
          <w:b/>
          <w:sz w:val="28"/>
          <w:szCs w:val="28"/>
          <w:lang w:val="vi-VN"/>
        </w:rPr>
      </w:pPr>
      <w:r w:rsidRPr="00DC2B90">
        <w:rPr>
          <w:rFonts w:ascii="Times New Roman" w:eastAsia="Times New Roman" w:hAnsi="Times New Roman" w:cs="Times New Roman"/>
          <w:b/>
          <w:sz w:val="28"/>
          <w:szCs w:val="28"/>
        </w:rPr>
        <w:t>BÁO CÁO</w:t>
      </w:r>
      <w:r w:rsidRPr="00DC2B90">
        <w:rPr>
          <w:rFonts w:ascii="Times New Roman" w:eastAsia="Times New Roman" w:hAnsi="Times New Roman" w:cs="Times New Roman"/>
          <w:b/>
          <w:sz w:val="28"/>
          <w:szCs w:val="28"/>
          <w:lang w:val="vi-VN"/>
        </w:rPr>
        <w:t xml:space="preserve"> TÓM TẮT</w:t>
      </w:r>
    </w:p>
    <w:p w:rsidR="00025292" w:rsidRPr="00DC2B90" w:rsidRDefault="00025292" w:rsidP="00025292">
      <w:pPr>
        <w:spacing w:after="0" w:line="240" w:lineRule="auto"/>
        <w:jc w:val="center"/>
        <w:rPr>
          <w:rFonts w:ascii="Times New Roman" w:eastAsia="Times New Roman" w:hAnsi="Times New Roman" w:cs="Times New Roman"/>
          <w:b/>
          <w:sz w:val="28"/>
          <w:szCs w:val="28"/>
        </w:rPr>
      </w:pPr>
      <w:r w:rsidRPr="00DC2B90">
        <w:rPr>
          <w:rFonts w:ascii="Times New Roman" w:eastAsia="Times New Roman" w:hAnsi="Times New Roman" w:cs="Times New Roman"/>
          <w:b/>
          <w:noProof/>
          <w:sz w:val="28"/>
          <w:szCs w:val="28"/>
        </w:rPr>
        <w:t xml:space="preserve">Thẩm tra </w:t>
      </w:r>
      <w:r w:rsidRPr="00DC2B90">
        <w:rPr>
          <w:rFonts w:ascii="Times New Roman" w:eastAsia="Times New Roman" w:hAnsi="Times New Roman" w:cs="Times New Roman"/>
          <w:b/>
          <w:sz w:val="28"/>
          <w:szCs w:val="28"/>
        </w:rPr>
        <w:t>Dự án Luật Thuế thu nhập</w:t>
      </w:r>
      <w:r w:rsidRPr="00DC2B90">
        <w:rPr>
          <w:rFonts w:ascii="Times New Roman" w:eastAsia="Times New Roman" w:hAnsi="Times New Roman" w:cs="Times New Roman"/>
          <w:b/>
          <w:sz w:val="28"/>
          <w:szCs w:val="28"/>
          <w:lang w:val="vi-VN"/>
        </w:rPr>
        <w:t xml:space="preserve"> </w:t>
      </w:r>
      <w:r w:rsidRPr="00DC2B90">
        <w:rPr>
          <w:rFonts w:ascii="Times New Roman" w:eastAsia="Times New Roman" w:hAnsi="Times New Roman" w:cs="Times New Roman"/>
          <w:b/>
          <w:sz w:val="28"/>
          <w:szCs w:val="28"/>
        </w:rPr>
        <w:t>doanh nghiệp (sửa đổi)</w:t>
      </w:r>
    </w:p>
    <w:p w:rsidR="00025292" w:rsidRPr="00DC2B90" w:rsidRDefault="00025292" w:rsidP="00025292">
      <w:pPr>
        <w:spacing w:after="0" w:line="240" w:lineRule="auto"/>
        <w:jc w:val="center"/>
        <w:rPr>
          <w:rFonts w:ascii="Times New Roman" w:eastAsia="Times New Roman" w:hAnsi="Times New Roman" w:cs="Times New Roman"/>
          <w:sz w:val="28"/>
          <w:szCs w:val="28"/>
        </w:rPr>
      </w:pPr>
      <w:r w:rsidRPr="00DC2B90">
        <w:rPr>
          <w:rFonts w:ascii="Times New Roman" w:hAnsi="Times New Roman" w:cs="Times New Roman"/>
          <w:noProof/>
        </w:rPr>
        <mc:AlternateContent>
          <mc:Choice Requires="wps">
            <w:drawing>
              <wp:anchor distT="4294967293" distB="4294967293" distL="114300" distR="114300" simplePos="0" relativeHeight="251658240" behindDoc="0" locked="0" layoutInCell="1" allowOverlap="1">
                <wp:simplePos x="0" y="0"/>
                <wp:positionH relativeFrom="margin">
                  <wp:posOffset>2557145</wp:posOffset>
                </wp:positionH>
                <wp:positionV relativeFrom="paragraph">
                  <wp:posOffset>44449</wp:posOffset>
                </wp:positionV>
                <wp:extent cx="609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A39C1C"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201.35pt,3.5pt" to="249.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">
                <w10:wrap anchorx="margin"/>
              </v:line>
            </w:pict>
          </mc:Fallback>
        </mc:AlternateContent>
      </w:r>
    </w:p>
    <w:p w:rsidR="00025292" w:rsidRPr="00DC2B90" w:rsidRDefault="00025292" w:rsidP="00025292">
      <w:pPr>
        <w:spacing w:after="0" w:line="240" w:lineRule="auto"/>
        <w:jc w:val="center"/>
        <w:rPr>
          <w:rFonts w:ascii="Times New Roman" w:eastAsia="Times New Roman" w:hAnsi="Times New Roman" w:cs="Times New Roman"/>
          <w:bCs/>
          <w:sz w:val="28"/>
          <w:szCs w:val="28"/>
          <w:lang w:val="nl-NL"/>
        </w:rPr>
      </w:pPr>
      <w:r w:rsidRPr="00DC2B90">
        <w:rPr>
          <w:rFonts w:ascii="Times New Roman" w:eastAsia="Times New Roman" w:hAnsi="Times New Roman" w:cs="Times New Roman"/>
          <w:sz w:val="28"/>
          <w:szCs w:val="28"/>
        </w:rPr>
        <w:t>Kính gửi:</w:t>
      </w:r>
      <w:r w:rsidRPr="00DC2B90">
        <w:rPr>
          <w:rFonts w:ascii="Times New Roman" w:eastAsia="Times New Roman" w:hAnsi="Times New Roman" w:cs="Times New Roman"/>
          <w:sz w:val="28"/>
          <w:szCs w:val="28"/>
          <w:lang w:val="vi-VN"/>
        </w:rPr>
        <w:t xml:space="preserve"> Các </w:t>
      </w:r>
      <w:r w:rsidRPr="00DC2B90">
        <w:rPr>
          <w:rFonts w:ascii="Times New Roman" w:eastAsia="Times New Roman" w:hAnsi="Times New Roman" w:cs="Times New Roman"/>
          <w:sz w:val="28"/>
          <w:szCs w:val="28"/>
          <w:lang w:val="en-GB"/>
        </w:rPr>
        <w:t xml:space="preserve">vị đại </w:t>
      </w:r>
      <w:r w:rsidRPr="00DC2B90">
        <w:rPr>
          <w:rFonts w:ascii="Times New Roman" w:eastAsia="Times New Roman" w:hAnsi="Times New Roman" w:cs="Times New Roman"/>
          <w:sz w:val="28"/>
          <w:szCs w:val="28"/>
          <w:lang w:val="vi-VN"/>
        </w:rPr>
        <w:t xml:space="preserve">biểu </w:t>
      </w:r>
      <w:r w:rsidRPr="00DC2B90">
        <w:rPr>
          <w:rFonts w:ascii="Times New Roman" w:eastAsia="Times New Roman" w:hAnsi="Times New Roman" w:cs="Times New Roman"/>
          <w:bCs/>
          <w:sz w:val="28"/>
          <w:szCs w:val="28"/>
          <w:lang w:val="nl-NL"/>
        </w:rPr>
        <w:t>Quốc hội,</w:t>
      </w:r>
    </w:p>
    <w:p w:rsidR="00025292" w:rsidRPr="00DC2B90" w:rsidRDefault="00025292" w:rsidP="00025292">
      <w:pPr>
        <w:spacing w:after="0" w:line="240" w:lineRule="auto"/>
        <w:jc w:val="center"/>
        <w:rPr>
          <w:rFonts w:ascii="Times New Roman" w:eastAsia="Times New Roman" w:hAnsi="Times New Roman" w:cs="Times New Roman"/>
          <w:bCs/>
          <w:sz w:val="28"/>
          <w:szCs w:val="28"/>
          <w:lang w:val="nl-NL"/>
        </w:rPr>
      </w:pPr>
    </w:p>
    <w:p w:rsidR="00025292" w:rsidRPr="00DC2B90" w:rsidRDefault="00025292" w:rsidP="00025292">
      <w:pPr>
        <w:spacing w:before="120" w:after="0" w:line="360" w:lineRule="exact"/>
        <w:jc w:val="both"/>
        <w:rPr>
          <w:rFonts w:ascii="Times New Roman" w:eastAsia="Times New Roman" w:hAnsi="Times New Roman" w:cs="Times New Roman"/>
          <w:bCs/>
          <w:iCs/>
          <w:spacing w:val="-6"/>
          <w:sz w:val="28"/>
          <w:szCs w:val="28"/>
          <w:lang w:val="vi-VN"/>
        </w:rPr>
      </w:pPr>
      <w:r w:rsidRPr="00DC2B90">
        <w:rPr>
          <w:rFonts w:ascii="Times New Roman" w:eastAsia="Times New Roman" w:hAnsi="Times New Roman" w:cs="Times New Roman"/>
          <w:iCs/>
          <w:sz w:val="28"/>
          <w:szCs w:val="28"/>
          <w:lang w:val="vi-VN"/>
        </w:rPr>
        <w:tab/>
      </w:r>
      <w:bookmarkStart w:id="0" w:name="_Hlk135402244"/>
      <w:r w:rsidRPr="00DC2B90">
        <w:rPr>
          <w:rFonts w:ascii="Times New Roman" w:eastAsia="Times New Roman" w:hAnsi="Times New Roman" w:cs="Times New Roman"/>
          <w:bCs/>
          <w:iCs/>
          <w:spacing w:val="-6"/>
          <w:sz w:val="28"/>
          <w:szCs w:val="28"/>
        </w:rPr>
        <w:t xml:space="preserve">Ủy ban Tài chính, Ngân sách (TCNS) đã có Báo cáo số </w:t>
      </w:r>
      <w:r w:rsidRPr="00DC2B90">
        <w:rPr>
          <w:rFonts w:ascii="Times New Roman" w:eastAsia="Times New Roman" w:hAnsi="Times New Roman" w:cs="Times New Roman"/>
          <w:bCs/>
          <w:iCs/>
          <w:spacing w:val="-6"/>
          <w:sz w:val="28"/>
          <w:szCs w:val="28"/>
          <w:lang w:val="en-GB"/>
        </w:rPr>
        <w:t>2659</w:t>
      </w:r>
      <w:r w:rsidRPr="00DC2B90">
        <w:rPr>
          <w:rFonts w:ascii="Times New Roman" w:eastAsia="Times New Roman" w:hAnsi="Times New Roman" w:cs="Times New Roman"/>
          <w:bCs/>
          <w:iCs/>
          <w:spacing w:val="-6"/>
          <w:sz w:val="28"/>
          <w:szCs w:val="28"/>
        </w:rPr>
        <w:t xml:space="preserve">/BC-UBTCNS15 ngày </w:t>
      </w:r>
      <w:r w:rsidRPr="00DC2B90">
        <w:rPr>
          <w:rFonts w:ascii="Times New Roman" w:eastAsia="Times New Roman" w:hAnsi="Times New Roman" w:cs="Times New Roman"/>
          <w:bCs/>
          <w:iCs/>
          <w:spacing w:val="-6"/>
          <w:sz w:val="28"/>
          <w:szCs w:val="28"/>
          <w:lang w:val="en-GB"/>
        </w:rPr>
        <w:t>21</w:t>
      </w:r>
      <w:r w:rsidRPr="00DC2B90">
        <w:rPr>
          <w:rFonts w:ascii="Times New Roman" w:eastAsia="Times New Roman" w:hAnsi="Times New Roman" w:cs="Times New Roman"/>
          <w:bCs/>
          <w:iCs/>
          <w:spacing w:val="-6"/>
          <w:sz w:val="28"/>
          <w:szCs w:val="28"/>
        </w:rPr>
        <w:t>/11/2024 thẩm tra Dự án Luật Thuế t</w:t>
      </w:r>
      <w:r w:rsidRPr="00DC2B90">
        <w:rPr>
          <w:rFonts w:ascii="Times New Roman" w:eastAsia="Times New Roman" w:hAnsi="Times New Roman" w:cs="Times New Roman"/>
          <w:bCs/>
          <w:iCs/>
          <w:spacing w:val="-6"/>
          <w:sz w:val="28"/>
          <w:szCs w:val="28"/>
          <w:lang w:val="vi-VN"/>
        </w:rPr>
        <w:t>hu nhập doanh nghiệp</w:t>
      </w:r>
      <w:r w:rsidRPr="00DC2B90">
        <w:rPr>
          <w:rFonts w:ascii="Times New Roman" w:eastAsia="Times New Roman" w:hAnsi="Times New Roman" w:cs="Times New Roman"/>
          <w:bCs/>
          <w:iCs/>
          <w:spacing w:val="-6"/>
          <w:sz w:val="28"/>
          <w:szCs w:val="28"/>
        </w:rPr>
        <w:t xml:space="preserve"> (</w:t>
      </w:r>
      <w:r w:rsidRPr="00DC2B90">
        <w:rPr>
          <w:rFonts w:ascii="Times New Roman" w:eastAsia="Times New Roman" w:hAnsi="Times New Roman" w:cs="Times New Roman"/>
          <w:bCs/>
          <w:iCs/>
          <w:spacing w:val="-6"/>
          <w:sz w:val="28"/>
          <w:szCs w:val="28"/>
          <w:lang w:val="vi-VN"/>
        </w:rPr>
        <w:t>TNDN</w:t>
      </w:r>
      <w:r w:rsidRPr="00DC2B90">
        <w:rPr>
          <w:rFonts w:ascii="Times New Roman" w:eastAsia="Times New Roman" w:hAnsi="Times New Roman" w:cs="Times New Roman"/>
          <w:bCs/>
          <w:iCs/>
          <w:spacing w:val="-6"/>
          <w:sz w:val="28"/>
          <w:szCs w:val="28"/>
        </w:rPr>
        <w:t>)</w:t>
      </w:r>
      <w:r w:rsidRPr="00DC2B90">
        <w:rPr>
          <w:rFonts w:ascii="Times New Roman" w:eastAsia="Times New Roman" w:hAnsi="Times New Roman" w:cs="Times New Roman"/>
          <w:bCs/>
          <w:iCs/>
          <w:spacing w:val="-6"/>
          <w:sz w:val="28"/>
          <w:szCs w:val="28"/>
          <w:lang w:val="vi-VN"/>
        </w:rPr>
        <w:t xml:space="preserve"> </w:t>
      </w:r>
      <w:r w:rsidRPr="00DC2B90">
        <w:rPr>
          <w:rFonts w:ascii="Times New Roman" w:eastAsia="Times New Roman" w:hAnsi="Times New Roman" w:cs="Times New Roman"/>
          <w:bCs/>
          <w:iCs/>
          <w:spacing w:val="-6"/>
          <w:sz w:val="28"/>
          <w:szCs w:val="28"/>
        </w:rPr>
        <w:t xml:space="preserve">(sửa đổi) và xin báo cáo Quốc hội tóm tắt một số nội dung chủ yếu như sau: </w:t>
      </w:r>
      <w:bookmarkEnd w:id="0"/>
    </w:p>
    <w:p w:rsidR="00025292" w:rsidRPr="00DC2B90" w:rsidRDefault="00025292" w:rsidP="00025292">
      <w:pPr>
        <w:spacing w:before="120" w:after="0" w:line="360" w:lineRule="exact"/>
        <w:ind w:firstLine="720"/>
        <w:jc w:val="both"/>
        <w:rPr>
          <w:rFonts w:ascii="Times New Roman" w:eastAsia="Times New Roman" w:hAnsi="Times New Roman" w:cs="Times New Roman"/>
          <w:b/>
          <w:sz w:val="24"/>
          <w:szCs w:val="24"/>
        </w:rPr>
      </w:pPr>
      <w:r w:rsidRPr="00DC2B90">
        <w:rPr>
          <w:rFonts w:ascii="Times New Roman" w:eastAsia="Times New Roman" w:hAnsi="Times New Roman" w:cs="Times New Roman"/>
          <w:b/>
          <w:sz w:val="24"/>
          <w:szCs w:val="24"/>
        </w:rPr>
        <w:t>I. VỀ NHỮNG VẤN ĐỀ CHUNG</w:t>
      </w:r>
    </w:p>
    <w:p w:rsidR="00025292" w:rsidRPr="00DC2B90" w:rsidRDefault="00025292" w:rsidP="00025292">
      <w:pPr>
        <w:spacing w:before="120" w:after="0" w:line="360" w:lineRule="exact"/>
        <w:ind w:firstLine="720"/>
        <w:jc w:val="both"/>
        <w:rPr>
          <w:rFonts w:ascii="Times New Roman" w:eastAsia="Times New Roman" w:hAnsi="Times New Roman" w:cs="Times New Roman"/>
          <w:b/>
          <w:iCs/>
          <w:sz w:val="28"/>
          <w:szCs w:val="28"/>
          <w:lang w:val="vi-VN"/>
        </w:rPr>
      </w:pPr>
      <w:r w:rsidRPr="00DC2B90">
        <w:rPr>
          <w:rFonts w:ascii="Times New Roman" w:eastAsia="Times New Roman" w:hAnsi="Times New Roman" w:cs="Times New Roman"/>
          <w:b/>
          <w:iCs/>
          <w:sz w:val="28"/>
          <w:szCs w:val="28"/>
        </w:rPr>
        <w:t>1. Về sự cần thiết</w:t>
      </w:r>
      <w:r w:rsidRPr="00DC2B90">
        <w:rPr>
          <w:rFonts w:ascii="Times New Roman" w:eastAsia="Times New Roman" w:hAnsi="Times New Roman" w:cs="Times New Roman"/>
          <w:b/>
          <w:iCs/>
          <w:sz w:val="28"/>
          <w:szCs w:val="28"/>
          <w:lang w:val="vi-VN"/>
        </w:rPr>
        <w:t xml:space="preserve"> và mục tiêu </w:t>
      </w:r>
      <w:r w:rsidRPr="00DC2B90">
        <w:rPr>
          <w:rFonts w:ascii="Times New Roman" w:eastAsia="Times New Roman" w:hAnsi="Times New Roman" w:cs="Times New Roman"/>
          <w:b/>
          <w:iCs/>
          <w:sz w:val="28"/>
          <w:szCs w:val="28"/>
        </w:rPr>
        <w:t>sửa đổi Luật</w:t>
      </w:r>
    </w:p>
    <w:p w:rsidR="00025292" w:rsidRPr="00DC2B90" w:rsidRDefault="00025292" w:rsidP="00025292">
      <w:pPr>
        <w:spacing w:before="120" w:after="0" w:line="360" w:lineRule="exact"/>
        <w:ind w:firstLine="720"/>
        <w:jc w:val="both"/>
        <w:rPr>
          <w:rFonts w:ascii="Times New Roman" w:hAnsi="Times New Roman" w:cs="Times New Roman"/>
          <w:sz w:val="28"/>
          <w:szCs w:val="28"/>
          <w:lang w:val="vi-VN"/>
        </w:rPr>
      </w:pPr>
      <w:r w:rsidRPr="00DC2B90">
        <w:rPr>
          <w:rFonts w:ascii="Times New Roman" w:eastAsia="Times New Roman" w:hAnsi="Times New Roman" w:cs="Times New Roman"/>
          <w:sz w:val="28"/>
          <w:szCs w:val="28"/>
          <w:lang w:val="en-GB"/>
        </w:rPr>
        <w:t>Ủy</w:t>
      </w:r>
      <w:r w:rsidRPr="00DC2B90">
        <w:rPr>
          <w:rFonts w:ascii="Times New Roman" w:eastAsia="Times New Roman" w:hAnsi="Times New Roman" w:cs="Times New Roman"/>
          <w:sz w:val="28"/>
          <w:szCs w:val="28"/>
          <w:lang w:val="vi-VN"/>
        </w:rPr>
        <w:t xml:space="preserve"> ban TCNS nhất trí về sự cần thiết sửa đổi Luật </w:t>
      </w:r>
      <w:r w:rsidRPr="00DC2B90">
        <w:rPr>
          <w:rFonts w:ascii="Times New Roman" w:eastAsia="Times New Roman" w:hAnsi="Times New Roman" w:cs="Times New Roman"/>
          <w:sz w:val="28"/>
          <w:szCs w:val="28"/>
          <w:lang w:val="en-GB"/>
        </w:rPr>
        <w:t>Thuế</w:t>
      </w:r>
      <w:r w:rsidRPr="00DC2B90">
        <w:rPr>
          <w:rFonts w:ascii="Times New Roman" w:eastAsia="Times New Roman" w:hAnsi="Times New Roman" w:cs="Times New Roman"/>
          <w:sz w:val="28"/>
          <w:szCs w:val="28"/>
          <w:lang w:val="vi-VN"/>
        </w:rPr>
        <w:t xml:space="preserve"> TNDN để khắc phục các vướng mắc, bất cập của Luật hiện hành và </w:t>
      </w:r>
      <w:r w:rsidRPr="00DC2B90">
        <w:rPr>
          <w:rFonts w:ascii="Times New Roman" w:eastAsia="Times New Roman" w:hAnsi="Times New Roman" w:cs="Times New Roman"/>
          <w:sz w:val="28"/>
          <w:szCs w:val="28"/>
        </w:rPr>
        <w:t>phù hợp với quá trình phát triển của nền kinh tế</w:t>
      </w:r>
      <w:r w:rsidRPr="00DC2B90">
        <w:rPr>
          <w:rFonts w:ascii="Times New Roman" w:eastAsia="Times New Roman" w:hAnsi="Times New Roman" w:cs="Times New Roman"/>
          <w:sz w:val="28"/>
          <w:szCs w:val="28"/>
          <w:lang w:val="vi-VN"/>
        </w:rPr>
        <w:t xml:space="preserve"> trong nước và </w:t>
      </w:r>
      <w:r w:rsidRPr="00DC2B90">
        <w:rPr>
          <w:rFonts w:ascii="Times New Roman" w:eastAsia="Times New Roman" w:hAnsi="Times New Roman" w:cs="Times New Roman"/>
          <w:sz w:val="28"/>
          <w:szCs w:val="28"/>
        </w:rPr>
        <w:t>thế giới</w:t>
      </w:r>
      <w:r w:rsidRPr="00DC2B90">
        <w:rPr>
          <w:rFonts w:ascii="Times New Roman" w:eastAsia="Times New Roman" w:hAnsi="Times New Roman" w:cs="Times New Roman"/>
          <w:sz w:val="28"/>
          <w:szCs w:val="28"/>
          <w:lang w:val="en-GB"/>
        </w:rPr>
        <w:t>. Trong đó,</w:t>
      </w:r>
      <w:r w:rsidRPr="00DC2B90">
        <w:rPr>
          <w:rFonts w:ascii="Times New Roman" w:eastAsia="Times New Roman" w:hAnsi="Times New Roman" w:cs="Times New Roman"/>
          <w:sz w:val="28"/>
          <w:szCs w:val="28"/>
          <w:lang w:val="vi-VN"/>
        </w:rPr>
        <w:t xml:space="preserve"> </w:t>
      </w:r>
      <w:r w:rsidRPr="00DC2B90">
        <w:rPr>
          <w:rFonts w:ascii="Times New Roman" w:eastAsia="Times New Roman" w:hAnsi="Times New Roman" w:cs="Times New Roman"/>
          <w:sz w:val="28"/>
          <w:szCs w:val="28"/>
          <w:lang w:val="en-GB"/>
        </w:rPr>
        <w:t xml:space="preserve">tập trung </w:t>
      </w:r>
      <w:r w:rsidRPr="00DC2B90">
        <w:rPr>
          <w:rFonts w:ascii="Times New Roman" w:eastAsia="Times New Roman" w:hAnsi="Times New Roman" w:cs="Times New Roman"/>
          <w:sz w:val="28"/>
          <w:szCs w:val="28"/>
          <w:lang w:val="vi-VN"/>
        </w:rPr>
        <w:t xml:space="preserve">một số mục tiêu lớn là: (i) Tháo gỡ bất cập, vướng mắc cho khu vực doanh nghiệp để tạo </w:t>
      </w:r>
      <w:r w:rsidRPr="00DC2B90">
        <w:rPr>
          <w:rFonts w:ascii="Times New Roman" w:eastAsia="Times New Roman" w:hAnsi="Times New Roman" w:cs="Times New Roman"/>
          <w:sz w:val="28"/>
          <w:szCs w:val="28"/>
          <w:lang w:val="en-GB"/>
        </w:rPr>
        <w:t>môi</w:t>
      </w:r>
      <w:r w:rsidRPr="00DC2B90">
        <w:rPr>
          <w:rFonts w:ascii="Times New Roman" w:eastAsia="Times New Roman" w:hAnsi="Times New Roman" w:cs="Times New Roman"/>
          <w:sz w:val="28"/>
          <w:szCs w:val="28"/>
          <w:lang w:val="vi-VN"/>
        </w:rPr>
        <w:t xml:space="preserve"> trường thuận lợi cho người nộp thuế tuân thủ pháp luật về thuế; (ii) </w:t>
      </w:r>
      <w:r w:rsidRPr="00DC2B90">
        <w:rPr>
          <w:rFonts w:ascii="Times New Roman" w:eastAsia="Times New Roman" w:hAnsi="Times New Roman" w:cs="Times New Roman"/>
          <w:sz w:val="28"/>
          <w:szCs w:val="28"/>
          <w:lang w:val="en-GB"/>
        </w:rPr>
        <w:t>T</w:t>
      </w:r>
      <w:r w:rsidRPr="00DC2B90">
        <w:rPr>
          <w:rFonts w:ascii="Times New Roman" w:eastAsia="Times New Roman" w:hAnsi="Times New Roman" w:cs="Times New Roman"/>
          <w:sz w:val="28"/>
          <w:szCs w:val="28"/>
          <w:lang w:val="vi-VN"/>
        </w:rPr>
        <w:t xml:space="preserve">hể chế hoá các chủ trương của Đảng, Nhà nước </w:t>
      </w:r>
      <w:r w:rsidRPr="00DC2B90">
        <w:rPr>
          <w:rFonts w:ascii="Times New Roman" w:eastAsia="Times New Roman" w:hAnsi="Times New Roman" w:cs="Times New Roman"/>
          <w:sz w:val="28"/>
          <w:szCs w:val="28"/>
          <w:lang w:val="en-GB"/>
        </w:rPr>
        <w:t>về</w:t>
      </w:r>
      <w:r w:rsidRPr="00DC2B90">
        <w:rPr>
          <w:rFonts w:ascii="Times New Roman" w:eastAsia="Times New Roman" w:hAnsi="Times New Roman" w:cs="Times New Roman"/>
          <w:sz w:val="28"/>
          <w:szCs w:val="28"/>
          <w:lang w:val="vi-VN"/>
        </w:rPr>
        <w:t xml:space="preserve"> khuyến khích, cải thiện môi trường đầu tư</w:t>
      </w:r>
      <w:r w:rsidRPr="00DC2B90">
        <w:rPr>
          <w:rFonts w:ascii="Times New Roman" w:eastAsia="Times New Roman" w:hAnsi="Times New Roman" w:cs="Times New Roman"/>
          <w:sz w:val="28"/>
          <w:szCs w:val="28"/>
          <w:lang w:val="en-GB"/>
        </w:rPr>
        <w:t>,</w:t>
      </w:r>
      <w:r w:rsidRPr="00DC2B90">
        <w:rPr>
          <w:rFonts w:ascii="Times New Roman" w:eastAsia="Times New Roman" w:hAnsi="Times New Roman" w:cs="Times New Roman"/>
          <w:sz w:val="28"/>
          <w:szCs w:val="28"/>
          <w:lang w:val="vi-VN"/>
        </w:rPr>
        <w:t xml:space="preserve"> </w:t>
      </w:r>
      <w:r w:rsidRPr="00DC2B90">
        <w:rPr>
          <w:rFonts w:ascii="Times New Roman" w:eastAsia="Times New Roman" w:hAnsi="Times New Roman" w:cs="Times New Roman"/>
          <w:sz w:val="28"/>
          <w:szCs w:val="28"/>
          <w:lang w:val="en-GB"/>
        </w:rPr>
        <w:t>g</w:t>
      </w:r>
      <w:r w:rsidRPr="00DC2B90">
        <w:rPr>
          <w:rFonts w:ascii="Times New Roman" w:eastAsia="Times New Roman" w:hAnsi="Times New Roman" w:cs="Times New Roman"/>
          <w:sz w:val="28"/>
          <w:szCs w:val="28"/>
          <w:lang w:val="vi-VN"/>
        </w:rPr>
        <w:t>iải quyết các hạn chế, bất cập về ưu đãi thuế</w:t>
      </w:r>
      <w:r w:rsidRPr="00DC2B90">
        <w:rPr>
          <w:rFonts w:ascii="Times New Roman" w:eastAsia="Times New Roman" w:hAnsi="Times New Roman" w:cs="Times New Roman"/>
          <w:sz w:val="28"/>
          <w:szCs w:val="28"/>
          <w:lang w:val="en-GB"/>
        </w:rPr>
        <w:t>,</w:t>
      </w:r>
      <w:r w:rsidRPr="00DC2B90">
        <w:rPr>
          <w:rFonts w:ascii="Times New Roman" w:eastAsia="Times New Roman" w:hAnsi="Times New Roman" w:cs="Times New Roman"/>
          <w:sz w:val="28"/>
          <w:szCs w:val="28"/>
          <w:lang w:val="vi-VN"/>
        </w:rPr>
        <w:t xml:space="preserve"> thúc đẩy các doanh nghiệp trong nước</w:t>
      </w:r>
      <w:r w:rsidRPr="00DC2B90">
        <w:rPr>
          <w:rFonts w:ascii="Times New Roman" w:eastAsia="Times New Roman" w:hAnsi="Times New Roman" w:cs="Times New Roman"/>
          <w:sz w:val="28"/>
          <w:szCs w:val="28"/>
          <w:lang w:val="en-GB"/>
        </w:rPr>
        <w:t xml:space="preserve"> chuyển dịch cơ cấu nền kinh tế</w:t>
      </w:r>
      <w:r w:rsidRPr="00DC2B90">
        <w:rPr>
          <w:rFonts w:ascii="Times New Roman" w:eastAsia="Times New Roman" w:hAnsi="Times New Roman" w:cs="Times New Roman"/>
          <w:sz w:val="28"/>
          <w:szCs w:val="28"/>
          <w:lang w:val="vi-VN"/>
        </w:rPr>
        <w:t xml:space="preserve">, thu hút các nhà đầu tư quốc tế phù hợp xu hướng mới; (iii) Tạo môi trường pháp </w:t>
      </w:r>
      <w:r w:rsidRPr="00DC2B90">
        <w:rPr>
          <w:rFonts w:ascii="Times New Roman" w:eastAsia="Times New Roman" w:hAnsi="Times New Roman" w:cs="Times New Roman"/>
          <w:sz w:val="28"/>
          <w:szCs w:val="28"/>
        </w:rPr>
        <w:t>lý</w:t>
      </w:r>
      <w:r w:rsidRPr="00DC2B90">
        <w:rPr>
          <w:rFonts w:ascii="Times New Roman" w:eastAsia="Times New Roman" w:hAnsi="Times New Roman" w:cs="Times New Roman"/>
          <w:sz w:val="28"/>
          <w:szCs w:val="28"/>
          <w:lang w:val="vi-VN"/>
        </w:rPr>
        <w:t xml:space="preserve"> thống nhất và ổn định về ưu đãi thuế TNDN</w:t>
      </w:r>
      <w:r w:rsidRPr="00DC2B90">
        <w:rPr>
          <w:rFonts w:ascii="Times New Roman" w:eastAsia="Times New Roman" w:hAnsi="Times New Roman" w:cs="Times New Roman"/>
          <w:sz w:val="28"/>
          <w:szCs w:val="28"/>
        </w:rPr>
        <w:t xml:space="preserve"> tại Luật này </w:t>
      </w:r>
      <w:r w:rsidRPr="00DC2B90">
        <w:rPr>
          <w:rFonts w:ascii="Times New Roman" w:eastAsia="Times New Roman" w:hAnsi="Times New Roman" w:cs="Times New Roman"/>
          <w:sz w:val="28"/>
          <w:szCs w:val="28"/>
          <w:lang w:val="vi-VN"/>
        </w:rPr>
        <w:t>để bảo đảm tính nhất quán, rõ ràng và thuận lợi trong thực hiện.</w:t>
      </w:r>
      <w:r w:rsidRPr="00DC2B90">
        <w:rPr>
          <w:rFonts w:ascii="Times New Roman" w:hAnsi="Times New Roman" w:cs="Times New Roman"/>
          <w:sz w:val="28"/>
          <w:szCs w:val="28"/>
          <w:lang w:val="vi-VN"/>
        </w:rPr>
        <w:t xml:space="preserve"> </w:t>
      </w:r>
    </w:p>
    <w:p w:rsidR="00025292" w:rsidRPr="00DC2B90" w:rsidRDefault="00025292" w:rsidP="00025292">
      <w:pPr>
        <w:spacing w:before="120" w:after="0" w:line="360" w:lineRule="exact"/>
        <w:ind w:firstLine="720"/>
        <w:jc w:val="both"/>
        <w:rPr>
          <w:rFonts w:ascii="Times New Roman" w:hAnsi="Times New Roman" w:cs="Times New Roman"/>
          <w:sz w:val="28"/>
          <w:szCs w:val="28"/>
          <w:lang w:val="vi-VN"/>
        </w:rPr>
      </w:pPr>
      <w:r w:rsidRPr="00DC2B90">
        <w:rPr>
          <w:rFonts w:ascii="Times New Roman" w:hAnsi="Times New Roman" w:cs="Times New Roman"/>
          <w:sz w:val="28"/>
          <w:szCs w:val="28"/>
          <w:lang w:val="vi-VN"/>
        </w:rPr>
        <w:t xml:space="preserve">Một số ý kiến </w:t>
      </w:r>
      <w:r w:rsidRPr="00DC2B90">
        <w:rPr>
          <w:rFonts w:ascii="Times New Roman" w:hAnsi="Times New Roman" w:cs="Times New Roman"/>
          <w:sz w:val="28"/>
          <w:szCs w:val="28"/>
        </w:rPr>
        <w:t>cho</w:t>
      </w:r>
      <w:r w:rsidRPr="00DC2B90">
        <w:rPr>
          <w:rFonts w:ascii="Times New Roman" w:hAnsi="Times New Roman" w:cs="Times New Roman"/>
          <w:sz w:val="28"/>
          <w:szCs w:val="28"/>
          <w:lang w:val="vi-VN"/>
        </w:rPr>
        <w:t xml:space="preserve"> rằng</w:t>
      </w:r>
      <w:r w:rsidRPr="00DC2B90">
        <w:rPr>
          <w:rFonts w:ascii="Times New Roman" w:hAnsi="Times New Roman" w:cs="Times New Roman"/>
          <w:sz w:val="28"/>
          <w:szCs w:val="28"/>
          <w:lang w:val="en-GB"/>
        </w:rPr>
        <w:t>,</w:t>
      </w:r>
      <w:r w:rsidRPr="00DC2B90">
        <w:rPr>
          <w:rFonts w:ascii="Times New Roman" w:hAnsi="Times New Roman" w:cs="Times New Roman"/>
          <w:sz w:val="28"/>
          <w:szCs w:val="28"/>
          <w:lang w:val="vi-VN"/>
        </w:rPr>
        <w:t xml:space="preserve"> việc sửa đổi Luật lần này chưa giải quyết được </w:t>
      </w:r>
      <w:r w:rsidRPr="00DC2B90">
        <w:rPr>
          <w:rFonts w:ascii="Times New Roman" w:hAnsi="Times New Roman" w:cs="Times New Roman"/>
          <w:sz w:val="28"/>
          <w:szCs w:val="28"/>
          <w:lang w:val="en-GB"/>
        </w:rPr>
        <w:t xml:space="preserve">tổng thể </w:t>
      </w:r>
      <w:r w:rsidRPr="00DC2B90">
        <w:rPr>
          <w:rFonts w:ascii="Times New Roman" w:hAnsi="Times New Roman" w:cs="Times New Roman"/>
          <w:sz w:val="28"/>
          <w:szCs w:val="28"/>
          <w:lang w:val="vi-VN"/>
        </w:rPr>
        <w:t xml:space="preserve">các vấn đề đặt ra để thu hút đầu tư </w:t>
      </w:r>
      <w:r w:rsidRPr="00DC2B90">
        <w:rPr>
          <w:rFonts w:ascii="Times New Roman" w:hAnsi="Times New Roman" w:cs="Times New Roman"/>
          <w:sz w:val="28"/>
          <w:szCs w:val="28"/>
          <w:lang w:val="en-GB"/>
        </w:rPr>
        <w:t xml:space="preserve">một cách hiệu quả </w:t>
      </w:r>
      <w:r w:rsidRPr="00DC2B90">
        <w:rPr>
          <w:rFonts w:ascii="Times New Roman" w:hAnsi="Times New Roman" w:cs="Times New Roman"/>
          <w:sz w:val="28"/>
          <w:szCs w:val="28"/>
          <w:lang w:val="vi-VN"/>
        </w:rPr>
        <w:t xml:space="preserve">trong điều kiện mới. Hiện các nước trong khu vực cũng chưa có bước đi rõ ràng về các chính sách ưu đãi thuế trong bối cảnh </w:t>
      </w:r>
      <w:r w:rsidRPr="00DC2B90">
        <w:rPr>
          <w:rFonts w:ascii="Times New Roman" w:hAnsi="Times New Roman" w:cs="Times New Roman"/>
          <w:sz w:val="28"/>
          <w:szCs w:val="28"/>
          <w:lang w:val="en-GB"/>
        </w:rPr>
        <w:t>“</w:t>
      </w:r>
      <w:r w:rsidRPr="00DC2B90">
        <w:rPr>
          <w:rFonts w:ascii="Times New Roman" w:hAnsi="Times New Roman" w:cs="Times New Roman"/>
          <w:sz w:val="28"/>
          <w:szCs w:val="28"/>
          <w:lang w:val="vi-VN"/>
        </w:rPr>
        <w:t>hậu thuế tối thiểu toàn cầu</w:t>
      </w:r>
      <w:r w:rsidRPr="00DC2B90">
        <w:rPr>
          <w:rFonts w:ascii="Times New Roman" w:hAnsi="Times New Roman" w:cs="Times New Roman"/>
          <w:sz w:val="28"/>
          <w:szCs w:val="28"/>
          <w:lang w:val="en-GB"/>
        </w:rPr>
        <w:t>”</w:t>
      </w:r>
      <w:r w:rsidRPr="00DC2B90">
        <w:rPr>
          <w:rFonts w:ascii="Times New Roman" w:hAnsi="Times New Roman" w:cs="Times New Roman"/>
          <w:sz w:val="28"/>
          <w:szCs w:val="28"/>
          <w:lang w:val="vi-VN"/>
        </w:rPr>
        <w:t>, v</w:t>
      </w:r>
      <w:bookmarkStart w:id="1" w:name="_Hlk177765001"/>
      <w:r w:rsidRPr="00DC2B90">
        <w:rPr>
          <w:rFonts w:ascii="Times New Roman" w:hAnsi="Times New Roman" w:cs="Times New Roman"/>
          <w:sz w:val="28"/>
          <w:szCs w:val="28"/>
          <w:lang w:val="vi-VN"/>
        </w:rPr>
        <w:t>ì vậy, đề nghị</w:t>
      </w:r>
      <w:r w:rsidRPr="00DC2B90">
        <w:rPr>
          <w:rFonts w:ascii="Times New Roman" w:hAnsi="Times New Roman" w:cs="Times New Roman"/>
          <w:sz w:val="28"/>
          <w:szCs w:val="28"/>
        </w:rPr>
        <w:t xml:space="preserve"> cân nhắc thêm về </w:t>
      </w:r>
      <w:r w:rsidRPr="00DC2B90">
        <w:rPr>
          <w:rFonts w:ascii="Times New Roman" w:hAnsi="Times New Roman" w:cs="Times New Roman"/>
          <w:sz w:val="28"/>
          <w:szCs w:val="28"/>
          <w:lang w:val="vi-VN"/>
        </w:rPr>
        <w:t xml:space="preserve">lùi thời điểm sửa Luật </w:t>
      </w:r>
      <w:r w:rsidRPr="00DC2B90">
        <w:rPr>
          <w:rFonts w:ascii="Times New Roman" w:hAnsi="Times New Roman" w:cs="Times New Roman"/>
          <w:sz w:val="28"/>
          <w:szCs w:val="28"/>
          <w:lang w:val="en-GB"/>
        </w:rPr>
        <w:t>này cho</w:t>
      </w:r>
      <w:r w:rsidRPr="00DC2B90">
        <w:rPr>
          <w:rFonts w:ascii="Times New Roman" w:hAnsi="Times New Roman" w:cs="Times New Roman"/>
          <w:sz w:val="28"/>
          <w:szCs w:val="28"/>
          <w:lang w:val="vi-VN"/>
        </w:rPr>
        <w:t xml:space="preserve"> phù hợp. </w:t>
      </w:r>
    </w:p>
    <w:bookmarkEnd w:id="1"/>
    <w:p w:rsidR="00025292" w:rsidRPr="00DC2B90" w:rsidRDefault="00025292" w:rsidP="00025292">
      <w:pPr>
        <w:shd w:val="clear" w:color="auto" w:fill="FFFFFF"/>
        <w:spacing w:before="120" w:after="0" w:line="360" w:lineRule="exact"/>
        <w:ind w:firstLine="720"/>
        <w:jc w:val="both"/>
        <w:textAlignment w:val="baseline"/>
        <w:rPr>
          <w:rFonts w:ascii="Times New Roman" w:eastAsia="Times New Roman" w:hAnsi="Times New Roman" w:cs="Times New Roman"/>
          <w:b/>
          <w:bCs/>
          <w:iCs/>
          <w:sz w:val="28"/>
          <w:szCs w:val="28"/>
        </w:rPr>
      </w:pPr>
      <w:r w:rsidRPr="00DC2B90">
        <w:rPr>
          <w:rFonts w:ascii="Times New Roman" w:eastAsia="Times New Roman" w:hAnsi="Times New Roman" w:cs="Times New Roman"/>
          <w:b/>
          <w:iCs/>
          <w:sz w:val="28"/>
          <w:szCs w:val="28"/>
          <w:lang w:val="vi-VN"/>
        </w:rPr>
        <w:t>2</w:t>
      </w:r>
      <w:r w:rsidRPr="00DC2B90">
        <w:rPr>
          <w:rFonts w:ascii="Times New Roman" w:eastAsia="Times New Roman" w:hAnsi="Times New Roman" w:cs="Times New Roman"/>
          <w:b/>
          <w:iCs/>
          <w:sz w:val="28"/>
          <w:szCs w:val="28"/>
        </w:rPr>
        <w:t>.</w:t>
      </w:r>
      <w:r w:rsidRPr="00DC2B90">
        <w:rPr>
          <w:rFonts w:ascii="Times New Roman" w:eastAsia="Times New Roman" w:hAnsi="Times New Roman" w:cs="Times New Roman"/>
          <w:b/>
          <w:bCs/>
          <w:iCs/>
          <w:sz w:val="28"/>
          <w:szCs w:val="28"/>
        </w:rPr>
        <w:t xml:space="preserve"> Về hồ sơ dự án Luật </w:t>
      </w:r>
    </w:p>
    <w:p w:rsidR="00025292" w:rsidRPr="00DC2B90" w:rsidRDefault="00025292" w:rsidP="00025292">
      <w:pPr>
        <w:pStyle w:val="s16"/>
        <w:spacing w:before="120" w:after="0" w:line="360" w:lineRule="exact"/>
        <w:ind w:firstLine="720"/>
        <w:jc w:val="both"/>
        <w:rPr>
          <w:rFonts w:eastAsia="Times New Roman"/>
          <w:lang w:val="vi-VN"/>
        </w:rPr>
      </w:pPr>
      <w:r w:rsidRPr="00DC2B90">
        <w:rPr>
          <w:rFonts w:eastAsia="Times New Roman"/>
          <w:bCs/>
          <w:iCs/>
          <w:sz w:val="28"/>
          <w:szCs w:val="28"/>
        </w:rPr>
        <w:t>Hồ sơ dự án Luật cơ bản đã bao gồm các tài liệu theo quy định.</w:t>
      </w:r>
      <w:r w:rsidRPr="00DC2B90">
        <w:rPr>
          <w:sz w:val="28"/>
          <w:szCs w:val="28"/>
          <w:lang w:val="vi-VN"/>
        </w:rPr>
        <w:t xml:space="preserve"> Tuy nhiên,</w:t>
      </w:r>
      <w:r w:rsidRPr="00DC2B90">
        <w:rPr>
          <w:rFonts w:eastAsia="Times New Roman"/>
          <w:bCs/>
          <w:iCs/>
          <w:sz w:val="28"/>
          <w:szCs w:val="28"/>
        </w:rPr>
        <w:t xml:space="preserve"> </w:t>
      </w:r>
      <w:r w:rsidRPr="00DC2B90">
        <w:rPr>
          <w:rFonts w:eastAsia="Times New Roman"/>
          <w:bCs/>
          <w:iCs/>
          <w:sz w:val="28"/>
          <w:szCs w:val="28"/>
          <w:lang w:val="vi-VN"/>
        </w:rPr>
        <w:t xml:space="preserve">đề nghị </w:t>
      </w:r>
      <w:r w:rsidRPr="00DC2B90">
        <w:rPr>
          <w:rFonts w:eastAsia="Times New Roman"/>
          <w:sz w:val="28"/>
          <w:szCs w:val="28"/>
          <w:lang w:val="vi-VN"/>
        </w:rPr>
        <w:t xml:space="preserve">Chính phủ hoàn thiện các nội dung </w:t>
      </w:r>
      <w:r w:rsidRPr="00DC2B90">
        <w:rPr>
          <w:rFonts w:eastAsia="Times New Roman"/>
          <w:sz w:val="28"/>
          <w:szCs w:val="28"/>
          <w:lang w:val="nl-NL"/>
        </w:rPr>
        <w:t>rà soát</w:t>
      </w:r>
      <w:r w:rsidRPr="00DC2B90">
        <w:rPr>
          <w:rFonts w:eastAsia="Times New Roman"/>
          <w:sz w:val="28"/>
          <w:szCs w:val="28"/>
          <w:lang w:val="vi-VN"/>
        </w:rPr>
        <w:t>, so sánh để</w:t>
      </w:r>
      <w:r w:rsidRPr="00DC2B90">
        <w:rPr>
          <w:rFonts w:eastAsia="Times New Roman"/>
          <w:sz w:val="28"/>
          <w:szCs w:val="28"/>
          <w:lang w:val="nl-NL"/>
        </w:rPr>
        <w:t xml:space="preserve"> đánh giá đầy đủ hơn</w:t>
      </w:r>
      <w:r w:rsidRPr="00DC2B90">
        <w:rPr>
          <w:rFonts w:eastAsia="Times New Roman"/>
          <w:sz w:val="28"/>
          <w:szCs w:val="28"/>
          <w:lang w:val="vi-VN"/>
        </w:rPr>
        <w:t xml:space="preserve"> về </w:t>
      </w:r>
      <w:r w:rsidRPr="00DC2B90">
        <w:rPr>
          <w:rFonts w:eastAsia="Times New Roman"/>
          <w:sz w:val="28"/>
          <w:szCs w:val="28"/>
          <w:lang w:val="nl-NL"/>
        </w:rPr>
        <w:t>quy định</w:t>
      </w:r>
      <w:r w:rsidRPr="00DC2B90">
        <w:rPr>
          <w:rFonts w:eastAsia="Times New Roman"/>
          <w:sz w:val="28"/>
          <w:szCs w:val="28"/>
          <w:lang w:val="vi-VN"/>
        </w:rPr>
        <w:t xml:space="preserve"> ưu đãi đầu tư tại các </w:t>
      </w:r>
      <w:r w:rsidRPr="00DC2B90">
        <w:rPr>
          <w:rFonts w:eastAsia="Times New Roman"/>
          <w:sz w:val="28"/>
          <w:szCs w:val="28"/>
          <w:lang w:val="nl-NL"/>
        </w:rPr>
        <w:t>Luật</w:t>
      </w:r>
      <w:r w:rsidRPr="00DC2B90">
        <w:rPr>
          <w:rFonts w:eastAsia="Times New Roman"/>
          <w:sz w:val="28"/>
          <w:szCs w:val="28"/>
          <w:lang w:val="vi-VN"/>
        </w:rPr>
        <w:t xml:space="preserve"> có liên quan </w:t>
      </w:r>
      <w:r w:rsidRPr="00DC2B90">
        <w:rPr>
          <w:rFonts w:eastAsia="Times New Roman"/>
          <w:sz w:val="28"/>
          <w:szCs w:val="28"/>
          <w:lang w:val="nl-NL"/>
        </w:rPr>
        <w:t>hiện hành</w:t>
      </w:r>
      <w:r w:rsidRPr="00DC2B90">
        <w:rPr>
          <w:rFonts w:eastAsia="Times New Roman"/>
          <w:sz w:val="28"/>
          <w:szCs w:val="28"/>
          <w:lang w:val="vi-VN"/>
        </w:rPr>
        <w:t xml:space="preserve"> và các Luật sắp được Quốc hội thông qua, </w:t>
      </w:r>
      <w:r w:rsidRPr="00DC2B90">
        <w:rPr>
          <w:rFonts w:eastAsia="Times New Roman"/>
          <w:sz w:val="28"/>
          <w:szCs w:val="28"/>
          <w:lang w:val="en-GB"/>
        </w:rPr>
        <w:t>làm rõ nội</w:t>
      </w:r>
      <w:r w:rsidRPr="00DC2B90">
        <w:rPr>
          <w:rFonts w:eastAsia="Times New Roman"/>
          <w:bCs/>
          <w:iCs/>
          <w:sz w:val="28"/>
          <w:szCs w:val="28"/>
          <w:lang w:val="vi-VN"/>
        </w:rPr>
        <w:t xml:space="preserve"> dung nào </w:t>
      </w:r>
      <w:r w:rsidRPr="00DC2B90">
        <w:rPr>
          <w:rFonts w:eastAsia="Times New Roman"/>
          <w:bCs/>
          <w:iCs/>
          <w:sz w:val="28"/>
          <w:szCs w:val="28"/>
          <w:lang w:val="en-GB"/>
        </w:rPr>
        <w:t>cần quy định tại</w:t>
      </w:r>
      <w:r w:rsidRPr="00DC2B90">
        <w:rPr>
          <w:rFonts w:eastAsia="Times New Roman"/>
          <w:bCs/>
          <w:iCs/>
          <w:sz w:val="28"/>
          <w:szCs w:val="28"/>
          <w:lang w:val="vi-VN"/>
        </w:rPr>
        <w:t xml:space="preserve"> dự thảo Luật, nội dung nào không </w:t>
      </w:r>
      <w:r w:rsidRPr="00DC2B90">
        <w:rPr>
          <w:rFonts w:eastAsia="Times New Roman"/>
          <w:bCs/>
          <w:iCs/>
          <w:sz w:val="28"/>
          <w:szCs w:val="28"/>
        </w:rPr>
        <w:t>đưa vào Luật này</w:t>
      </w:r>
      <w:r w:rsidRPr="00DC2B90">
        <w:rPr>
          <w:rFonts w:eastAsia="Times New Roman"/>
          <w:bCs/>
          <w:iCs/>
          <w:sz w:val="28"/>
          <w:szCs w:val="28"/>
          <w:lang w:val="vi-VN"/>
        </w:rPr>
        <w:t xml:space="preserve"> hoặc không phù hợp phải có quy định sửa </w:t>
      </w:r>
      <w:r w:rsidRPr="00DC2B90">
        <w:rPr>
          <w:rFonts w:eastAsia="Times New Roman"/>
          <w:bCs/>
          <w:iCs/>
          <w:sz w:val="28"/>
          <w:szCs w:val="28"/>
        </w:rPr>
        <w:t xml:space="preserve">đổi </w:t>
      </w:r>
      <w:r w:rsidRPr="00DC2B90">
        <w:rPr>
          <w:rFonts w:eastAsia="Times New Roman"/>
          <w:bCs/>
          <w:iCs/>
          <w:sz w:val="28"/>
          <w:szCs w:val="28"/>
        </w:rPr>
        <w:lastRenderedPageBreak/>
        <w:t xml:space="preserve">tại các </w:t>
      </w:r>
      <w:r w:rsidRPr="00DC2B90">
        <w:rPr>
          <w:rFonts w:eastAsia="Times New Roman"/>
          <w:bCs/>
          <w:iCs/>
          <w:sz w:val="28"/>
          <w:szCs w:val="28"/>
          <w:lang w:val="vi-VN"/>
        </w:rPr>
        <w:t xml:space="preserve">luật </w:t>
      </w:r>
      <w:r w:rsidRPr="00DC2B90">
        <w:rPr>
          <w:rFonts w:eastAsia="Times New Roman"/>
          <w:bCs/>
          <w:iCs/>
          <w:sz w:val="28"/>
          <w:szCs w:val="28"/>
        </w:rPr>
        <w:t xml:space="preserve">có </w:t>
      </w:r>
      <w:r w:rsidRPr="00DC2B90">
        <w:rPr>
          <w:rFonts w:eastAsia="Times New Roman"/>
          <w:bCs/>
          <w:iCs/>
          <w:sz w:val="28"/>
          <w:szCs w:val="28"/>
          <w:lang w:val="vi-VN"/>
        </w:rPr>
        <w:t xml:space="preserve">liên quan để bảo đảm sự thống nhất về cách thức và mức độ ưu đãi thuế TNDN. </w:t>
      </w:r>
    </w:p>
    <w:p w:rsidR="00025292" w:rsidRPr="00DC2B90" w:rsidRDefault="00025292" w:rsidP="00025292">
      <w:pPr>
        <w:tabs>
          <w:tab w:val="left" w:pos="851"/>
        </w:tabs>
        <w:spacing w:before="120" w:after="0" w:line="360" w:lineRule="exact"/>
        <w:ind w:firstLine="720"/>
        <w:jc w:val="both"/>
        <w:rPr>
          <w:rFonts w:ascii="Times New Roman" w:eastAsia="Times New Roman" w:hAnsi="Times New Roman" w:cs="Times New Roman"/>
          <w:b/>
          <w:sz w:val="24"/>
          <w:szCs w:val="24"/>
          <w:lang w:val="vi-VN"/>
        </w:rPr>
      </w:pPr>
      <w:r w:rsidRPr="00DC2B90">
        <w:rPr>
          <w:rFonts w:ascii="Times New Roman" w:eastAsia="Times New Roman" w:hAnsi="Times New Roman" w:cs="Times New Roman"/>
          <w:b/>
          <w:sz w:val="24"/>
          <w:szCs w:val="24"/>
          <w:lang w:val="nl-NL"/>
        </w:rPr>
        <w:t>II. VỀ MỘT SỐ NỘI DUNG CỤ THỂ</w:t>
      </w:r>
      <w:r w:rsidRPr="00DC2B90">
        <w:rPr>
          <w:rFonts w:ascii="Times New Roman" w:hAnsi="Times New Roman" w:cs="Times New Roman"/>
          <w:bCs/>
          <w:sz w:val="24"/>
          <w:szCs w:val="24"/>
          <w:lang w:val="vi-VN"/>
        </w:rPr>
        <w:tab/>
      </w:r>
    </w:p>
    <w:p w:rsidR="00025292" w:rsidRPr="00DC2B90" w:rsidRDefault="00025292" w:rsidP="00025292">
      <w:pPr>
        <w:spacing w:before="120" w:after="0" w:line="360" w:lineRule="exact"/>
        <w:ind w:firstLine="720"/>
        <w:jc w:val="both"/>
        <w:rPr>
          <w:rFonts w:ascii="Times New Roman" w:eastAsia="Times New Roman" w:hAnsi="Times New Roman" w:cs="Times New Roman"/>
          <w:b/>
          <w:sz w:val="28"/>
          <w:szCs w:val="28"/>
          <w:lang w:val="en-GB"/>
        </w:rPr>
      </w:pPr>
      <w:r w:rsidRPr="00DC2B90">
        <w:rPr>
          <w:rFonts w:ascii="Times New Roman" w:eastAsia="Times New Roman" w:hAnsi="Times New Roman" w:cs="Times New Roman"/>
          <w:b/>
          <w:sz w:val="28"/>
          <w:szCs w:val="28"/>
          <w:lang w:val="vi-VN"/>
        </w:rPr>
        <w:t xml:space="preserve">1. Về người nộp thuế </w:t>
      </w:r>
      <w:r w:rsidRPr="00DC2B90">
        <w:rPr>
          <w:rFonts w:ascii="Times New Roman" w:eastAsia="Times New Roman" w:hAnsi="Times New Roman" w:cs="Times New Roman"/>
          <w:b/>
          <w:iCs/>
          <w:sz w:val="28"/>
          <w:szCs w:val="28"/>
          <w:lang w:val="vi-VN"/>
        </w:rPr>
        <w:t>là các tổ chức nước ngoài có hoạt động kinh doanh trên nền tảng thương mại điện tử</w:t>
      </w:r>
      <w:r w:rsidRPr="00DC2B90">
        <w:rPr>
          <w:rFonts w:ascii="Times New Roman" w:eastAsia="Times New Roman" w:hAnsi="Times New Roman" w:cs="Times New Roman"/>
          <w:b/>
          <w:sz w:val="28"/>
          <w:szCs w:val="28"/>
          <w:lang w:val="vi-VN"/>
        </w:rPr>
        <w:t xml:space="preserve"> </w:t>
      </w:r>
      <w:r w:rsidRPr="00DC2B90">
        <w:rPr>
          <w:rFonts w:ascii="Times New Roman" w:eastAsia="Times New Roman" w:hAnsi="Times New Roman" w:cs="Times New Roman"/>
          <w:b/>
          <w:sz w:val="28"/>
          <w:szCs w:val="28"/>
          <w:lang w:val="en-GB"/>
        </w:rPr>
        <w:t>(Điều 2)</w:t>
      </w:r>
    </w:p>
    <w:p w:rsidR="00025292" w:rsidRPr="00DC2B90" w:rsidRDefault="00025292" w:rsidP="00025292">
      <w:pPr>
        <w:spacing w:before="120" w:after="0" w:line="360" w:lineRule="exact"/>
        <w:ind w:firstLine="720"/>
        <w:jc w:val="both"/>
        <w:rPr>
          <w:rFonts w:ascii="Times New Roman" w:eastAsia="Times New Roman" w:hAnsi="Times New Roman" w:cs="Times New Roman"/>
          <w:bCs/>
          <w:sz w:val="28"/>
          <w:szCs w:val="28"/>
          <w:lang w:val="vi-VN"/>
        </w:rPr>
      </w:pPr>
      <w:r w:rsidRPr="00DC2B90">
        <w:rPr>
          <w:rFonts w:ascii="Times New Roman" w:eastAsia="Times New Roman" w:hAnsi="Times New Roman" w:cs="Times New Roman"/>
          <w:bCs/>
          <w:sz w:val="28"/>
          <w:szCs w:val="28"/>
          <w:lang w:val="vi-VN"/>
        </w:rPr>
        <w:t xml:space="preserve">Dự thảo Luật bổ sung quy định về việc thu thuế đối với người nộp thuế là các </w:t>
      </w:r>
      <w:r w:rsidRPr="00DC2B90">
        <w:rPr>
          <w:rFonts w:ascii="Times New Roman" w:eastAsia="Times New Roman" w:hAnsi="Times New Roman" w:cs="Times New Roman"/>
          <w:bCs/>
          <w:i/>
          <w:iCs/>
          <w:sz w:val="28"/>
          <w:szCs w:val="28"/>
          <w:lang w:val="vi-VN"/>
        </w:rPr>
        <w:t xml:space="preserve">doanh nghiệp nước ngoài kinh doanh thương mại điện tử, kinh doanh trên nền tảng số nộp thuế với thu nhập chịu thuế phát sinh tại Việt Nam </w:t>
      </w:r>
      <w:r w:rsidRPr="00DC2B90">
        <w:rPr>
          <w:rFonts w:ascii="Times New Roman" w:eastAsia="Times New Roman" w:hAnsi="Times New Roman" w:cs="Times New Roman"/>
          <w:bCs/>
          <w:sz w:val="28"/>
          <w:szCs w:val="28"/>
          <w:lang w:val="vi-VN"/>
        </w:rPr>
        <w:t xml:space="preserve">và bổ sung quy định về loại hình </w:t>
      </w:r>
      <w:r w:rsidRPr="00DC2B90">
        <w:rPr>
          <w:rFonts w:ascii="Times New Roman" w:eastAsia="Times New Roman" w:hAnsi="Times New Roman" w:cs="Times New Roman"/>
          <w:bCs/>
          <w:i/>
          <w:iCs/>
          <w:sz w:val="28"/>
          <w:szCs w:val="28"/>
          <w:lang w:val="vi-VN"/>
        </w:rPr>
        <w:t xml:space="preserve">cơ sở thường trú </w:t>
      </w:r>
      <w:r w:rsidRPr="00DC2B90">
        <w:rPr>
          <w:rFonts w:ascii="Times New Roman" w:eastAsia="Times New Roman" w:hAnsi="Times New Roman" w:cs="Times New Roman"/>
          <w:bCs/>
          <w:i/>
          <w:iCs/>
          <w:sz w:val="28"/>
          <w:szCs w:val="28"/>
          <w:lang w:val="en-GB"/>
        </w:rPr>
        <w:t>“</w:t>
      </w:r>
      <w:r w:rsidRPr="00DC2B90">
        <w:rPr>
          <w:rFonts w:ascii="Times New Roman" w:eastAsia="Times New Roman" w:hAnsi="Times New Roman" w:cs="Times New Roman"/>
          <w:bCs/>
          <w:i/>
          <w:iCs/>
          <w:sz w:val="28"/>
          <w:szCs w:val="28"/>
          <w:lang w:val="vi-VN"/>
        </w:rPr>
        <w:t>ảo</w:t>
      </w:r>
      <w:r w:rsidRPr="00DC2B90">
        <w:rPr>
          <w:rFonts w:ascii="Times New Roman" w:eastAsia="Times New Roman" w:hAnsi="Times New Roman" w:cs="Times New Roman"/>
          <w:bCs/>
          <w:i/>
          <w:iCs/>
          <w:sz w:val="28"/>
          <w:szCs w:val="28"/>
          <w:lang w:val="en-GB"/>
        </w:rPr>
        <w:t>”</w:t>
      </w:r>
      <w:r w:rsidRPr="00DC2B90">
        <w:rPr>
          <w:rFonts w:ascii="Times New Roman" w:eastAsia="Times New Roman" w:hAnsi="Times New Roman" w:cs="Times New Roman"/>
          <w:bCs/>
          <w:i/>
          <w:iCs/>
          <w:sz w:val="28"/>
          <w:szCs w:val="28"/>
          <w:lang w:val="vi-VN"/>
        </w:rPr>
        <w:t xml:space="preserve"> </w:t>
      </w:r>
      <w:r w:rsidRPr="00DC2B90">
        <w:rPr>
          <w:rFonts w:ascii="Times New Roman" w:eastAsia="Times New Roman" w:hAnsi="Times New Roman" w:cs="Times New Roman"/>
          <w:bCs/>
          <w:sz w:val="28"/>
          <w:szCs w:val="28"/>
          <w:lang w:val="vi-VN"/>
        </w:rPr>
        <w:t xml:space="preserve">(không có hiện diện vật lý). </w:t>
      </w:r>
    </w:p>
    <w:p w:rsidR="00025292" w:rsidRPr="00DC2B90" w:rsidRDefault="00025292" w:rsidP="00025292">
      <w:pPr>
        <w:spacing w:before="120" w:after="0" w:line="360" w:lineRule="exact"/>
        <w:ind w:firstLine="720"/>
        <w:jc w:val="both"/>
        <w:rPr>
          <w:rFonts w:ascii="Times New Roman" w:eastAsia="Times New Roman" w:hAnsi="Times New Roman" w:cs="Times New Roman"/>
          <w:bCs/>
          <w:sz w:val="28"/>
          <w:szCs w:val="28"/>
          <w:lang w:val="vi-VN"/>
        </w:rPr>
      </w:pPr>
      <w:r w:rsidRPr="00DC2B90">
        <w:rPr>
          <w:rFonts w:ascii="Times New Roman" w:eastAsia="Times New Roman" w:hAnsi="Times New Roman" w:cs="Times New Roman"/>
          <w:bCs/>
          <w:sz w:val="28"/>
          <w:szCs w:val="28"/>
          <w:lang w:val="vi-VN"/>
        </w:rPr>
        <w:t>Với các quy định này của dự thảo Luật, đề nghị</w:t>
      </w:r>
      <w:r w:rsidRPr="00DC2B90">
        <w:rPr>
          <w:rFonts w:ascii="Times New Roman" w:eastAsia="Times New Roman" w:hAnsi="Times New Roman" w:cs="Times New Roman"/>
          <w:bCs/>
          <w:sz w:val="28"/>
          <w:szCs w:val="28"/>
          <w:lang w:val="en-GB"/>
        </w:rPr>
        <w:t xml:space="preserve"> Cơ quan chủ trì soạn thảo</w:t>
      </w:r>
      <w:r w:rsidRPr="00DC2B90">
        <w:rPr>
          <w:rFonts w:ascii="Times New Roman" w:eastAsia="Times New Roman" w:hAnsi="Times New Roman" w:cs="Times New Roman"/>
          <w:bCs/>
          <w:sz w:val="28"/>
          <w:szCs w:val="28"/>
          <w:lang w:val="vi-VN"/>
        </w:rPr>
        <w:t xml:space="preserve"> làm rõ </w:t>
      </w:r>
      <w:r w:rsidRPr="00DC2B90">
        <w:rPr>
          <w:rFonts w:ascii="Times New Roman" w:eastAsia="Times New Roman" w:hAnsi="Times New Roman" w:cs="Times New Roman"/>
          <w:bCs/>
          <w:iCs/>
          <w:sz w:val="28"/>
          <w:szCs w:val="28"/>
          <w:lang w:val="vi-VN"/>
        </w:rPr>
        <w:t xml:space="preserve">một số vấn đề sau: </w:t>
      </w:r>
      <w:r w:rsidRPr="00DC2B90">
        <w:rPr>
          <w:rFonts w:ascii="Times New Roman" w:eastAsia="Times New Roman" w:hAnsi="Times New Roman" w:cs="Times New Roman"/>
          <w:bCs/>
          <w:sz w:val="28"/>
          <w:szCs w:val="28"/>
          <w:lang w:val="vi-VN"/>
        </w:rPr>
        <w:t>(i)</w:t>
      </w:r>
      <w:r w:rsidRPr="00DC2B90">
        <w:rPr>
          <w:rFonts w:ascii="Times New Roman" w:eastAsia="Times New Roman" w:hAnsi="Times New Roman" w:cs="Times New Roman"/>
          <w:bCs/>
          <w:iCs/>
          <w:sz w:val="28"/>
          <w:szCs w:val="28"/>
          <w:lang w:val="vi-VN"/>
        </w:rPr>
        <w:t xml:space="preserve"> Khả năng thu thuế TNDN trên thực tế đối với các doanh nghiệp nước ngoài không có hiện diện tại Việt Nam </w:t>
      </w:r>
      <w:r w:rsidRPr="00DC2B90">
        <w:rPr>
          <w:rFonts w:ascii="Times New Roman" w:eastAsia="Times New Roman" w:hAnsi="Times New Roman" w:cs="Times New Roman"/>
          <w:bCs/>
          <w:iCs/>
          <w:sz w:val="28"/>
          <w:szCs w:val="28"/>
          <w:u w:val="single"/>
          <w:lang w:val="vi-VN"/>
        </w:rPr>
        <w:t>cung cấp hàng hoá</w:t>
      </w:r>
      <w:r w:rsidRPr="00DC2B90">
        <w:rPr>
          <w:rFonts w:ascii="Times New Roman" w:eastAsia="Times New Roman" w:hAnsi="Times New Roman" w:cs="Times New Roman"/>
          <w:bCs/>
          <w:iCs/>
          <w:sz w:val="28"/>
          <w:szCs w:val="28"/>
          <w:lang w:val="vi-VN"/>
        </w:rPr>
        <w:t xml:space="preserve"> vào Việt Nam thông qua các giao dịch trên nền tảng thương mại điện tử</w:t>
      </w:r>
      <w:r w:rsidRPr="00DC2B90">
        <w:rPr>
          <w:rFonts w:ascii="Times New Roman" w:eastAsia="Times New Roman" w:hAnsi="Times New Roman" w:cs="Times New Roman"/>
          <w:bCs/>
          <w:iCs/>
          <w:sz w:val="28"/>
          <w:szCs w:val="28"/>
          <w:lang w:val="en-GB"/>
        </w:rPr>
        <w:t>.</w:t>
      </w:r>
      <w:r w:rsidRPr="00DC2B90">
        <w:rPr>
          <w:rFonts w:ascii="Times New Roman" w:eastAsia="Times New Roman" w:hAnsi="Times New Roman" w:cs="Times New Roman"/>
          <w:bCs/>
          <w:iCs/>
          <w:sz w:val="28"/>
          <w:szCs w:val="28"/>
          <w:lang w:val="vi-VN"/>
        </w:rPr>
        <w:t xml:space="preserve"> </w:t>
      </w:r>
      <w:r w:rsidRPr="00DC2B90">
        <w:rPr>
          <w:rFonts w:ascii="Times New Roman" w:eastAsia="Times New Roman" w:hAnsi="Times New Roman" w:cs="Times New Roman"/>
          <w:bCs/>
          <w:sz w:val="28"/>
          <w:szCs w:val="28"/>
          <w:lang w:val="vi-VN"/>
        </w:rPr>
        <w:t>(ii) Tính phù hợp về phạm vi quyền đánh thuế của Việt Nam trong trường hợp các doanh nghiệp nước ngoài nêu trên có hình thành cơ sở thường trú tại Việt Nam so với các quy định trong các Hiệp định thuế đã được ký kết. (iii)</w:t>
      </w:r>
      <w:r w:rsidRPr="00DC2B90">
        <w:rPr>
          <w:rFonts w:ascii="Times New Roman" w:eastAsia="Times New Roman" w:hAnsi="Times New Roman" w:cs="Times New Roman"/>
          <w:bCs/>
          <w:iCs/>
          <w:sz w:val="28"/>
          <w:szCs w:val="28"/>
          <w:lang w:val="vi-VN"/>
        </w:rPr>
        <w:t xml:space="preserve"> Việc áp dụng </w:t>
      </w:r>
      <w:r w:rsidRPr="00DC2B90">
        <w:rPr>
          <w:rFonts w:ascii="Times New Roman" w:eastAsia="Times New Roman" w:hAnsi="Times New Roman" w:cs="Times New Roman"/>
          <w:bCs/>
          <w:iCs/>
          <w:sz w:val="28"/>
          <w:szCs w:val="28"/>
          <w:lang w:val="en-GB"/>
        </w:rPr>
        <w:t>Luật</w:t>
      </w:r>
      <w:r w:rsidRPr="00DC2B90">
        <w:rPr>
          <w:rFonts w:ascii="Times New Roman" w:eastAsia="Times New Roman" w:hAnsi="Times New Roman" w:cs="Times New Roman"/>
          <w:bCs/>
          <w:iCs/>
          <w:sz w:val="28"/>
          <w:szCs w:val="28"/>
          <w:lang w:val="vi-VN"/>
        </w:rPr>
        <w:t xml:space="preserve"> trong trường hợp có quy định khác biệt với Hiệp định thuế đã ký kết (liên quan đến loại hình cơ sở thường trú không có hiện diện vật lý). </w:t>
      </w:r>
    </w:p>
    <w:p w:rsidR="00025292" w:rsidRPr="00DC2B90" w:rsidRDefault="00025292" w:rsidP="00025292">
      <w:pPr>
        <w:spacing w:before="120" w:after="0" w:line="360" w:lineRule="exact"/>
        <w:jc w:val="both"/>
        <w:rPr>
          <w:rFonts w:ascii="Times New Roman" w:eastAsia="Times New Roman" w:hAnsi="Times New Roman" w:cs="Times New Roman"/>
          <w:iCs/>
          <w:sz w:val="28"/>
          <w:szCs w:val="28"/>
          <w:lang w:val="vi-VN"/>
        </w:rPr>
      </w:pPr>
      <w:r w:rsidRPr="00DC2B90">
        <w:rPr>
          <w:rFonts w:ascii="Times New Roman" w:hAnsi="Times New Roman" w:cs="Times New Roman"/>
          <w:iCs/>
          <w:sz w:val="28"/>
          <w:szCs w:val="28"/>
          <w:lang w:val="vi-VN"/>
        </w:rPr>
        <w:tab/>
      </w:r>
      <w:r w:rsidRPr="00DC2B90">
        <w:rPr>
          <w:rFonts w:ascii="Times New Roman" w:eastAsia="Times New Roman" w:hAnsi="Times New Roman" w:cs="Times New Roman"/>
          <w:b/>
          <w:i/>
          <w:spacing w:val="-4"/>
          <w:sz w:val="28"/>
          <w:szCs w:val="28"/>
          <w:lang w:val="en-GB"/>
        </w:rPr>
        <w:t>2</w:t>
      </w:r>
      <w:r w:rsidRPr="00DC2B90">
        <w:rPr>
          <w:rFonts w:ascii="Times New Roman" w:eastAsia="Times New Roman" w:hAnsi="Times New Roman" w:cs="Times New Roman"/>
          <w:b/>
          <w:i/>
          <w:spacing w:val="-4"/>
          <w:sz w:val="28"/>
          <w:szCs w:val="28"/>
          <w:lang w:val="vi-VN"/>
        </w:rPr>
        <w:t>. Về nguyên tắc, áp dụng ưu đãi</w:t>
      </w:r>
      <w:r w:rsidRPr="00DC2B90">
        <w:rPr>
          <w:rFonts w:ascii="Times New Roman" w:eastAsia="Times New Roman" w:hAnsi="Times New Roman" w:cs="Times New Roman"/>
          <w:b/>
          <w:i/>
          <w:spacing w:val="-4"/>
          <w:sz w:val="28"/>
          <w:szCs w:val="28"/>
          <w:lang w:val="en-GB"/>
        </w:rPr>
        <w:t xml:space="preserve"> thuế TNDN (Điều 12) và</w:t>
      </w:r>
      <w:r w:rsidRPr="00DC2B90">
        <w:rPr>
          <w:rFonts w:ascii="Times New Roman" w:eastAsia="Times New Roman" w:hAnsi="Times New Roman" w:cs="Times New Roman"/>
          <w:b/>
          <w:i/>
          <w:spacing w:val="-4"/>
          <w:sz w:val="28"/>
          <w:szCs w:val="28"/>
          <w:lang w:val="vi-VN"/>
        </w:rPr>
        <w:t xml:space="preserve"> tính thống nhất của hệ thống pháp luật: </w:t>
      </w:r>
      <w:r w:rsidRPr="00DC2B90">
        <w:rPr>
          <w:rFonts w:ascii="Times New Roman" w:eastAsia="Times New Roman" w:hAnsi="Times New Roman" w:cs="Times New Roman"/>
          <w:iCs/>
          <w:sz w:val="28"/>
          <w:szCs w:val="28"/>
          <w:lang w:val="vi-VN"/>
        </w:rPr>
        <w:t xml:space="preserve">Dự thảo Luật </w:t>
      </w:r>
      <w:r w:rsidRPr="00DC2B90">
        <w:rPr>
          <w:rFonts w:ascii="Times New Roman" w:eastAsia="Times New Roman" w:hAnsi="Times New Roman" w:cs="Times New Roman"/>
          <w:iCs/>
          <w:sz w:val="28"/>
          <w:szCs w:val="28"/>
          <w:lang w:val="en-GB"/>
        </w:rPr>
        <w:t>hiện còn</w:t>
      </w:r>
      <w:r w:rsidRPr="00DC2B90">
        <w:rPr>
          <w:rFonts w:ascii="Times New Roman" w:eastAsia="Times New Roman" w:hAnsi="Times New Roman" w:cs="Times New Roman"/>
          <w:iCs/>
          <w:sz w:val="28"/>
          <w:szCs w:val="28"/>
          <w:lang w:val="vi-VN"/>
        </w:rPr>
        <w:t xml:space="preserve"> chưa thống nhất về phạm vi các ngành, lĩnh vực được hưởng ưu đãi </w:t>
      </w:r>
      <w:r w:rsidRPr="00DC2B90">
        <w:rPr>
          <w:rFonts w:ascii="Times New Roman" w:eastAsia="Times New Roman" w:hAnsi="Times New Roman" w:cs="Times New Roman"/>
          <w:iCs/>
          <w:sz w:val="28"/>
          <w:szCs w:val="28"/>
          <w:lang w:val="en-GB"/>
        </w:rPr>
        <w:t xml:space="preserve">so </w:t>
      </w:r>
      <w:r w:rsidRPr="00DC2B90">
        <w:rPr>
          <w:rFonts w:ascii="Times New Roman" w:eastAsia="Times New Roman" w:hAnsi="Times New Roman" w:cs="Times New Roman"/>
          <w:iCs/>
          <w:sz w:val="28"/>
          <w:szCs w:val="28"/>
          <w:lang w:val="vi-VN"/>
        </w:rPr>
        <w:t xml:space="preserve">với quy định của Luật Đầu tư, một số luật chuyên ngành </w:t>
      </w:r>
      <w:r w:rsidRPr="00DC2B90">
        <w:rPr>
          <w:rFonts w:ascii="Times New Roman" w:eastAsia="Times New Roman" w:hAnsi="Times New Roman" w:cs="Times New Roman"/>
          <w:iCs/>
          <w:sz w:val="28"/>
          <w:szCs w:val="28"/>
          <w:lang w:val="en-GB"/>
        </w:rPr>
        <w:t>hiện hành</w:t>
      </w:r>
      <w:r w:rsidRPr="00DC2B90">
        <w:rPr>
          <w:rFonts w:ascii="Times New Roman" w:eastAsia="Times New Roman" w:hAnsi="Times New Roman" w:cs="Times New Roman"/>
          <w:iCs/>
          <w:sz w:val="28"/>
          <w:szCs w:val="28"/>
          <w:lang w:val="vi-VN"/>
        </w:rPr>
        <w:t xml:space="preserve"> và </w:t>
      </w:r>
      <w:r w:rsidRPr="00DC2B90">
        <w:rPr>
          <w:rFonts w:ascii="Times New Roman" w:eastAsia="Times New Roman" w:hAnsi="Times New Roman" w:cs="Times New Roman"/>
          <w:iCs/>
          <w:sz w:val="28"/>
          <w:szCs w:val="28"/>
          <w:lang w:val="en-GB"/>
        </w:rPr>
        <w:t xml:space="preserve">một số luật đang được Quốc hội thảo luận </w:t>
      </w:r>
      <w:r w:rsidRPr="00DC2B90">
        <w:rPr>
          <w:rFonts w:ascii="Times New Roman" w:eastAsia="Times New Roman" w:hAnsi="Times New Roman" w:cs="Times New Roman"/>
          <w:iCs/>
          <w:sz w:val="28"/>
          <w:szCs w:val="28"/>
          <w:lang w:val="vi-VN"/>
        </w:rPr>
        <w:t xml:space="preserve">sẽ được ban hành trong thời gian tới. Đa số ý kiến trong Uỷ ban TCNS nhất trí với nguyên tắc ưu tiên áp dụng Luật thuế TNDN trong trường hợp có quy định khác nhau giữa Luật </w:t>
      </w:r>
      <w:r w:rsidRPr="00DC2B90">
        <w:rPr>
          <w:rFonts w:ascii="Times New Roman" w:eastAsia="Times New Roman" w:hAnsi="Times New Roman" w:cs="Times New Roman"/>
          <w:iCs/>
          <w:sz w:val="28"/>
          <w:szCs w:val="28"/>
          <w:lang w:val="en-GB"/>
        </w:rPr>
        <w:t>Thuế</w:t>
      </w:r>
      <w:r w:rsidRPr="00DC2B90">
        <w:rPr>
          <w:rFonts w:ascii="Times New Roman" w:eastAsia="Times New Roman" w:hAnsi="Times New Roman" w:cs="Times New Roman"/>
          <w:iCs/>
          <w:sz w:val="28"/>
          <w:szCs w:val="28"/>
          <w:lang w:val="vi-VN"/>
        </w:rPr>
        <w:t xml:space="preserve"> TNDN với các Luật khác như được </w:t>
      </w:r>
      <w:r w:rsidRPr="00DC2B90">
        <w:rPr>
          <w:rFonts w:ascii="Times New Roman" w:eastAsia="Times New Roman" w:hAnsi="Times New Roman" w:cs="Times New Roman"/>
          <w:iCs/>
          <w:sz w:val="28"/>
          <w:szCs w:val="28"/>
          <w:lang w:val="en-GB"/>
        </w:rPr>
        <w:t>thể hiện</w:t>
      </w:r>
      <w:r w:rsidRPr="00DC2B90">
        <w:rPr>
          <w:rFonts w:ascii="Times New Roman" w:eastAsia="Times New Roman" w:hAnsi="Times New Roman" w:cs="Times New Roman"/>
          <w:iCs/>
          <w:sz w:val="28"/>
          <w:szCs w:val="28"/>
          <w:lang w:val="vi-VN"/>
        </w:rPr>
        <w:t xml:space="preserve"> trong dự thảo Luật để </w:t>
      </w:r>
      <w:r w:rsidRPr="00DC2B90">
        <w:rPr>
          <w:rFonts w:ascii="Times New Roman" w:eastAsia="Times New Roman" w:hAnsi="Times New Roman" w:cs="Times New Roman"/>
          <w:iCs/>
          <w:sz w:val="28"/>
          <w:szCs w:val="28"/>
          <w:lang w:val="en-GB"/>
        </w:rPr>
        <w:t>đảm bảo</w:t>
      </w:r>
      <w:r w:rsidRPr="00DC2B90">
        <w:rPr>
          <w:rFonts w:ascii="Times New Roman" w:eastAsia="Times New Roman" w:hAnsi="Times New Roman" w:cs="Times New Roman"/>
          <w:iCs/>
          <w:sz w:val="28"/>
          <w:szCs w:val="28"/>
          <w:lang w:val="vi-VN"/>
        </w:rPr>
        <w:t xml:space="preserve"> tính thống nhất trong thực thi pháp luật</w:t>
      </w:r>
      <w:r w:rsidRPr="00DC2B90">
        <w:rPr>
          <w:rFonts w:ascii="Times New Roman" w:eastAsia="Times New Roman" w:hAnsi="Times New Roman" w:cs="Times New Roman"/>
          <w:iCs/>
          <w:sz w:val="28"/>
          <w:szCs w:val="28"/>
          <w:lang w:val="en-GB"/>
        </w:rPr>
        <w:t>,</w:t>
      </w:r>
      <w:r w:rsidRPr="00DC2B90">
        <w:rPr>
          <w:rFonts w:ascii="Times New Roman" w:eastAsia="Times New Roman" w:hAnsi="Times New Roman" w:cs="Times New Roman"/>
          <w:iCs/>
          <w:sz w:val="28"/>
          <w:szCs w:val="28"/>
          <w:lang w:val="vi-VN"/>
        </w:rPr>
        <w:t xml:space="preserve"> tránh việc quy định ưu đãi dàn trải tại </w:t>
      </w:r>
      <w:r w:rsidRPr="00DC2B90">
        <w:rPr>
          <w:rFonts w:ascii="Times New Roman" w:eastAsia="Times New Roman" w:hAnsi="Times New Roman" w:cs="Times New Roman"/>
          <w:iCs/>
          <w:sz w:val="28"/>
          <w:szCs w:val="28"/>
          <w:lang w:val="en-GB"/>
        </w:rPr>
        <w:t xml:space="preserve">nhiều </w:t>
      </w:r>
      <w:r w:rsidRPr="00DC2B90">
        <w:rPr>
          <w:rFonts w:ascii="Times New Roman" w:eastAsia="Times New Roman" w:hAnsi="Times New Roman" w:cs="Times New Roman"/>
          <w:iCs/>
          <w:sz w:val="28"/>
          <w:szCs w:val="28"/>
          <w:lang w:val="vi-VN"/>
        </w:rPr>
        <w:t>văn bản Luật chuyên ngành khác</w:t>
      </w:r>
      <w:r w:rsidRPr="00DC2B90">
        <w:rPr>
          <w:rFonts w:ascii="Times New Roman" w:eastAsia="Times New Roman" w:hAnsi="Times New Roman" w:cs="Times New Roman"/>
          <w:iCs/>
          <w:sz w:val="28"/>
          <w:szCs w:val="28"/>
          <w:lang w:val="en-GB"/>
        </w:rPr>
        <w:t xml:space="preserve"> nhau</w:t>
      </w:r>
      <w:r w:rsidRPr="00DC2B90">
        <w:rPr>
          <w:rFonts w:ascii="Times New Roman" w:eastAsia="Times New Roman" w:hAnsi="Times New Roman" w:cs="Times New Roman"/>
          <w:iCs/>
          <w:sz w:val="28"/>
          <w:szCs w:val="28"/>
          <w:lang w:val="vi-VN"/>
        </w:rPr>
        <w:t xml:space="preserve">; các ưu đãi thuế cần được và chỉ nên được quy định trong các văn bản pháp luật về thuế để bảo đảm tính tổng thể, nhất quán của hệ thống ưu đãi thuế TNDN theo Chiến lược cải cách thuế đến năm 2030 đã được Thủ tướng Chính phủ phê duyệt. Tuy nhiên, Uỷ ban TCNS đề nghị </w:t>
      </w:r>
      <w:r w:rsidRPr="00DC2B90">
        <w:rPr>
          <w:rFonts w:ascii="Times New Roman" w:eastAsia="Times New Roman" w:hAnsi="Times New Roman" w:cs="Times New Roman"/>
          <w:iCs/>
          <w:sz w:val="28"/>
          <w:szCs w:val="28"/>
          <w:lang w:val="en-GB"/>
        </w:rPr>
        <w:t xml:space="preserve">cần tiếp tục làm rõ, để quy định cụ thể hơn trong Luật </w:t>
      </w:r>
      <w:r w:rsidRPr="00DC2B90">
        <w:rPr>
          <w:rFonts w:ascii="Times New Roman" w:eastAsia="Times New Roman" w:hAnsi="Times New Roman" w:cs="Times New Roman"/>
          <w:iCs/>
          <w:sz w:val="28"/>
          <w:szCs w:val="28"/>
          <w:lang w:val="vi-VN"/>
        </w:rPr>
        <w:t>một số vấn đề sau:</w:t>
      </w:r>
    </w:p>
    <w:p w:rsidR="00025292" w:rsidRPr="00DC2B90" w:rsidRDefault="00025292" w:rsidP="00025292">
      <w:pPr>
        <w:spacing w:before="120" w:after="0" w:line="360" w:lineRule="exact"/>
        <w:jc w:val="both"/>
        <w:rPr>
          <w:rFonts w:ascii="Times New Roman" w:eastAsia="Times New Roman" w:hAnsi="Times New Roman" w:cs="Times New Roman"/>
          <w:iCs/>
          <w:sz w:val="28"/>
          <w:szCs w:val="28"/>
          <w:lang w:val="vi-VN"/>
        </w:rPr>
      </w:pPr>
      <w:r w:rsidRPr="00DC2B90">
        <w:rPr>
          <w:rFonts w:ascii="Times New Roman" w:eastAsia="Times New Roman" w:hAnsi="Times New Roman" w:cs="Times New Roman"/>
          <w:iCs/>
          <w:sz w:val="28"/>
          <w:szCs w:val="28"/>
          <w:lang w:val="vi-VN"/>
        </w:rPr>
        <w:tab/>
        <w:t>(i) Tính phù hợp với quy định Luật Ban hành văn bản quy phạm pháp luật</w:t>
      </w:r>
      <w:r w:rsidRPr="00DC2B90">
        <w:rPr>
          <w:rFonts w:ascii="Times New Roman" w:eastAsia="Times New Roman" w:hAnsi="Times New Roman" w:cs="Times New Roman"/>
          <w:iCs/>
          <w:sz w:val="28"/>
          <w:szCs w:val="28"/>
          <w:lang w:val="en-GB"/>
        </w:rPr>
        <w:t xml:space="preserve"> (VBQPPL)</w:t>
      </w:r>
      <w:r w:rsidRPr="00DC2B90">
        <w:rPr>
          <w:rFonts w:ascii="Times New Roman" w:eastAsia="Times New Roman" w:hAnsi="Times New Roman" w:cs="Times New Roman"/>
          <w:iCs/>
          <w:sz w:val="28"/>
          <w:szCs w:val="28"/>
          <w:lang w:val="vi-VN"/>
        </w:rPr>
        <w:t xml:space="preserve">, cụ thể: </w:t>
      </w:r>
      <w:r w:rsidRPr="00DC2B90">
        <w:rPr>
          <w:rFonts w:ascii="Times New Roman" w:eastAsia="Times New Roman" w:hAnsi="Times New Roman" w:cs="Times New Roman"/>
          <w:i/>
          <w:sz w:val="28"/>
          <w:szCs w:val="28"/>
          <w:lang w:val="vi-VN"/>
        </w:rPr>
        <w:t>trong trường hợp có quy định khác nhau về cùng một vấn đề thì áp dụng theo văn bản ban hành sau;</w:t>
      </w:r>
      <w:r w:rsidRPr="00DC2B90">
        <w:rPr>
          <w:rFonts w:ascii="Times New Roman" w:eastAsia="Times New Roman" w:hAnsi="Times New Roman" w:cs="Times New Roman"/>
          <w:iCs/>
          <w:sz w:val="28"/>
          <w:szCs w:val="28"/>
          <w:lang w:val="vi-VN"/>
        </w:rPr>
        <w:t xml:space="preserve"> và </w:t>
      </w:r>
      <w:r w:rsidRPr="00DC2B90">
        <w:rPr>
          <w:rFonts w:ascii="Times New Roman" w:eastAsia="Times New Roman" w:hAnsi="Times New Roman" w:cs="Times New Roman"/>
          <w:i/>
          <w:sz w:val="28"/>
          <w:szCs w:val="28"/>
          <w:lang w:val="vi-VN"/>
        </w:rPr>
        <w:t>khi ban hành văn bản quy phạm pháp luật, cơ quan ban hành văn bản phải đồng thời sửa đổi bổ sung bãi bỏ văn bản do mình đã ban hành trái với văn bản mới</w:t>
      </w:r>
      <w:r w:rsidRPr="00DC2B90">
        <w:rPr>
          <w:rFonts w:ascii="Times New Roman" w:eastAsia="Times New Roman" w:hAnsi="Times New Roman" w:cs="Times New Roman"/>
          <w:iCs/>
          <w:sz w:val="28"/>
          <w:szCs w:val="28"/>
          <w:lang w:val="vi-VN"/>
        </w:rPr>
        <w:t xml:space="preserve">. </w:t>
      </w:r>
    </w:p>
    <w:p w:rsidR="00025292" w:rsidRPr="00DC2B90" w:rsidRDefault="00025292" w:rsidP="00025292">
      <w:pPr>
        <w:spacing w:before="120" w:after="0" w:line="360" w:lineRule="exact"/>
        <w:jc w:val="both"/>
        <w:rPr>
          <w:rFonts w:ascii="Times New Roman" w:eastAsia="Times New Roman" w:hAnsi="Times New Roman" w:cs="Times New Roman"/>
          <w:iCs/>
          <w:sz w:val="28"/>
          <w:szCs w:val="28"/>
          <w:lang w:val="vi-VN"/>
        </w:rPr>
      </w:pPr>
      <w:r w:rsidRPr="00DC2B90">
        <w:rPr>
          <w:rFonts w:ascii="Times New Roman" w:eastAsia="Times New Roman" w:hAnsi="Times New Roman" w:cs="Times New Roman"/>
          <w:iCs/>
          <w:sz w:val="28"/>
          <w:szCs w:val="28"/>
          <w:lang w:val="vi-VN"/>
        </w:rPr>
        <w:lastRenderedPageBreak/>
        <w:tab/>
        <w:t xml:space="preserve">(ii) Hiệu lực thi hành của Điều 15, Điều 16 Luật Đầu tư hiện hành và Nghị định </w:t>
      </w:r>
      <w:r w:rsidRPr="00DC2B90">
        <w:rPr>
          <w:rFonts w:ascii="Times New Roman" w:eastAsia="Times New Roman" w:hAnsi="Times New Roman" w:cs="Times New Roman"/>
          <w:iCs/>
          <w:sz w:val="28"/>
          <w:szCs w:val="28"/>
          <w:lang w:val="en-GB"/>
        </w:rPr>
        <w:t xml:space="preserve">số </w:t>
      </w:r>
      <w:r w:rsidRPr="00DC2B90">
        <w:rPr>
          <w:rFonts w:ascii="Times New Roman" w:eastAsia="Times New Roman" w:hAnsi="Times New Roman" w:cs="Times New Roman"/>
          <w:iCs/>
          <w:sz w:val="28"/>
          <w:szCs w:val="28"/>
          <w:lang w:val="vi-VN"/>
        </w:rPr>
        <w:t>31/2021/NĐ-CP hướng dẫn Luật Đầu tư với các Danh mục ưu đãi đầu tư, ưu đãi đầu tư đặc biệt và một số điều khoản ưu đãi tại các luật chuyên ngành</w:t>
      </w:r>
      <w:r w:rsidRPr="00DC2B90">
        <w:rPr>
          <w:rFonts w:ascii="Times New Roman" w:eastAsia="Times New Roman" w:hAnsi="Times New Roman" w:cs="Times New Roman"/>
          <w:iCs/>
          <w:sz w:val="28"/>
          <w:szCs w:val="28"/>
          <w:lang w:val="en-GB"/>
        </w:rPr>
        <w:t>.</w:t>
      </w:r>
    </w:p>
    <w:p w:rsidR="00025292" w:rsidRPr="00DC2B90" w:rsidRDefault="00025292" w:rsidP="00025292">
      <w:pPr>
        <w:spacing w:before="120" w:after="0" w:line="360" w:lineRule="exact"/>
        <w:jc w:val="both"/>
        <w:rPr>
          <w:rFonts w:ascii="Times New Roman" w:eastAsia="Times New Roman" w:hAnsi="Times New Roman" w:cs="Times New Roman"/>
          <w:iCs/>
          <w:sz w:val="28"/>
          <w:szCs w:val="28"/>
          <w:lang w:val="vi-VN"/>
        </w:rPr>
      </w:pPr>
      <w:r w:rsidRPr="00DC2B90">
        <w:rPr>
          <w:rFonts w:ascii="Times New Roman" w:eastAsia="Times New Roman" w:hAnsi="Times New Roman" w:cs="Times New Roman"/>
          <w:iCs/>
          <w:sz w:val="28"/>
          <w:szCs w:val="28"/>
          <w:lang w:val="vi-VN"/>
        </w:rPr>
        <w:tab/>
        <w:t>(iii) Phương án giải quyết đối với các nội dung ưu đãi đầu tư đang được quy định tại một số dự thảo Luật sẽ được Quốc hội thông qua trong Kỳ họp này (</w:t>
      </w:r>
      <w:r w:rsidRPr="00DC2B90">
        <w:rPr>
          <w:rFonts w:ascii="Times New Roman" w:hAnsi="Times New Roman" w:cs="Times New Roman"/>
          <w:sz w:val="28"/>
          <w:szCs w:val="28"/>
          <w:lang w:val="vi-VN"/>
        </w:rPr>
        <w:t xml:space="preserve">Luật Dược, </w:t>
      </w:r>
      <w:r w:rsidRPr="00DC2B90">
        <w:rPr>
          <w:rFonts w:ascii="Times New Roman" w:eastAsia="Times New Roman" w:hAnsi="Times New Roman" w:cs="Times New Roman"/>
          <w:iCs/>
          <w:sz w:val="28"/>
          <w:szCs w:val="28"/>
          <w:lang w:val="en-GB"/>
        </w:rPr>
        <w:t>Luật Công</w:t>
      </w:r>
      <w:r w:rsidRPr="00DC2B90">
        <w:rPr>
          <w:rFonts w:ascii="Times New Roman" w:eastAsia="Times New Roman" w:hAnsi="Times New Roman" w:cs="Times New Roman"/>
          <w:iCs/>
          <w:sz w:val="28"/>
          <w:szCs w:val="28"/>
          <w:lang w:val="vi-VN"/>
        </w:rPr>
        <w:t xml:space="preserve"> nghiệp công nghệ số</w:t>
      </w:r>
      <w:r w:rsidRPr="00DC2B90">
        <w:rPr>
          <w:rFonts w:ascii="Times New Roman" w:eastAsia="Times New Roman" w:hAnsi="Times New Roman" w:cs="Times New Roman"/>
          <w:iCs/>
          <w:sz w:val="28"/>
          <w:szCs w:val="28"/>
          <w:lang w:val="en-GB"/>
        </w:rPr>
        <w:t>,</w:t>
      </w:r>
      <w:r w:rsidRPr="00DC2B90">
        <w:rPr>
          <w:rFonts w:ascii="Times New Roman" w:eastAsia="Times New Roman" w:hAnsi="Times New Roman" w:cs="Times New Roman"/>
          <w:iCs/>
          <w:sz w:val="28"/>
          <w:szCs w:val="28"/>
          <w:lang w:val="vi-VN"/>
        </w:rPr>
        <w:t xml:space="preserve"> Luật Điện lực, Luật Di sản văn hoá</w:t>
      </w:r>
      <w:r w:rsidRPr="00DC2B90">
        <w:rPr>
          <w:rFonts w:ascii="Times New Roman" w:eastAsia="Times New Roman" w:hAnsi="Times New Roman" w:cs="Times New Roman"/>
          <w:iCs/>
          <w:sz w:val="28"/>
          <w:szCs w:val="28"/>
          <w:lang w:val="en-GB"/>
        </w:rPr>
        <w:t>,</w:t>
      </w:r>
      <w:r w:rsidRPr="00DC2B90">
        <w:rPr>
          <w:rFonts w:ascii="Times New Roman" w:eastAsia="Times New Roman" w:hAnsi="Times New Roman" w:cs="Times New Roman"/>
          <w:iCs/>
          <w:sz w:val="28"/>
          <w:szCs w:val="28"/>
          <w:lang w:val="vi-VN"/>
        </w:rPr>
        <w:t xml:space="preserve">...) và việc áp dụng nguyên tắc ưu tiên áp dụng ưu đãi thuế theo Luật </w:t>
      </w:r>
      <w:r w:rsidRPr="00DC2B90">
        <w:rPr>
          <w:rFonts w:ascii="Times New Roman" w:eastAsia="Times New Roman" w:hAnsi="Times New Roman" w:cs="Times New Roman"/>
          <w:iCs/>
          <w:sz w:val="28"/>
          <w:szCs w:val="28"/>
          <w:lang w:val="en-GB"/>
        </w:rPr>
        <w:t>Thuế</w:t>
      </w:r>
      <w:r w:rsidRPr="00DC2B90">
        <w:rPr>
          <w:rFonts w:ascii="Times New Roman" w:eastAsia="Times New Roman" w:hAnsi="Times New Roman" w:cs="Times New Roman"/>
          <w:iCs/>
          <w:sz w:val="28"/>
          <w:szCs w:val="28"/>
          <w:lang w:val="vi-VN"/>
        </w:rPr>
        <w:t xml:space="preserve"> TNDN trong công tác xây dựng các luật chuyên ngành mới sau này.</w:t>
      </w:r>
    </w:p>
    <w:p w:rsidR="00025292" w:rsidRPr="00DC2B90" w:rsidRDefault="00025292" w:rsidP="00025292">
      <w:pPr>
        <w:spacing w:before="120" w:after="0" w:line="360" w:lineRule="exact"/>
        <w:jc w:val="both"/>
        <w:rPr>
          <w:rFonts w:ascii="Times New Roman" w:eastAsia="Times New Roman" w:hAnsi="Times New Roman" w:cs="Times New Roman"/>
          <w:bCs/>
          <w:iCs/>
          <w:sz w:val="28"/>
          <w:szCs w:val="28"/>
          <w:lang w:val="vi-VN"/>
        </w:rPr>
      </w:pPr>
      <w:r w:rsidRPr="00DC2B90">
        <w:rPr>
          <w:rFonts w:ascii="Times New Roman" w:eastAsia="Times New Roman" w:hAnsi="Times New Roman" w:cs="Times New Roman"/>
          <w:iCs/>
          <w:sz w:val="28"/>
          <w:szCs w:val="28"/>
          <w:lang w:val="vi-VN"/>
        </w:rPr>
        <w:tab/>
      </w:r>
      <w:r w:rsidRPr="00DC2B90">
        <w:rPr>
          <w:rFonts w:ascii="Times New Roman" w:eastAsia="Times New Roman" w:hAnsi="Times New Roman" w:cs="Times New Roman"/>
          <w:b/>
          <w:i/>
          <w:sz w:val="28"/>
          <w:szCs w:val="28"/>
          <w:lang w:val="en-GB"/>
        </w:rPr>
        <w:t>3.</w:t>
      </w:r>
      <w:r w:rsidRPr="00DC2B90">
        <w:rPr>
          <w:rFonts w:ascii="Times New Roman" w:eastAsia="Times New Roman" w:hAnsi="Times New Roman" w:cs="Times New Roman"/>
          <w:b/>
          <w:i/>
          <w:sz w:val="28"/>
          <w:szCs w:val="28"/>
          <w:lang w:val="vi-VN"/>
        </w:rPr>
        <w:t xml:space="preserve"> Về điều kiện được ưu đãi đầu tư đặc biệt</w:t>
      </w:r>
      <w:r w:rsidRPr="00DC2B90">
        <w:rPr>
          <w:rFonts w:ascii="Times New Roman" w:eastAsia="Times New Roman" w:hAnsi="Times New Roman" w:cs="Times New Roman"/>
          <w:b/>
          <w:i/>
          <w:sz w:val="28"/>
          <w:szCs w:val="28"/>
          <w:lang w:val="en-GB"/>
        </w:rPr>
        <w:t xml:space="preserve"> (khoản 2 Điều 12)</w:t>
      </w:r>
      <w:r w:rsidRPr="00DC2B90">
        <w:rPr>
          <w:rFonts w:ascii="Times New Roman" w:eastAsia="Times New Roman" w:hAnsi="Times New Roman" w:cs="Times New Roman"/>
          <w:b/>
          <w:i/>
          <w:sz w:val="28"/>
          <w:szCs w:val="28"/>
          <w:lang w:val="vi-VN"/>
        </w:rPr>
        <w:t xml:space="preserve">: </w:t>
      </w:r>
      <w:r w:rsidRPr="00DC2B90">
        <w:rPr>
          <w:rFonts w:ascii="Times New Roman" w:eastAsia="Times New Roman" w:hAnsi="Times New Roman" w:cs="Times New Roman"/>
          <w:bCs/>
          <w:iCs/>
          <w:sz w:val="28"/>
          <w:szCs w:val="28"/>
          <w:lang w:val="vi-VN"/>
        </w:rPr>
        <w:t>Uỷ ban TCNS còn</w:t>
      </w:r>
      <w:r w:rsidRPr="00DC2B90">
        <w:rPr>
          <w:rFonts w:ascii="Times New Roman" w:eastAsia="Times New Roman" w:hAnsi="Times New Roman" w:cs="Times New Roman"/>
          <w:bCs/>
          <w:iCs/>
          <w:sz w:val="28"/>
          <w:szCs w:val="28"/>
          <w:lang w:val="en-GB"/>
        </w:rPr>
        <w:t xml:space="preserve"> đề nghị làm rõ hơn</w:t>
      </w:r>
      <w:r w:rsidRPr="00DC2B90">
        <w:rPr>
          <w:rFonts w:ascii="Times New Roman" w:eastAsia="Times New Roman" w:hAnsi="Times New Roman" w:cs="Times New Roman"/>
          <w:bCs/>
          <w:iCs/>
          <w:sz w:val="28"/>
          <w:szCs w:val="28"/>
          <w:lang w:val="vi-VN"/>
        </w:rPr>
        <w:t xml:space="preserve"> về điều kiện các dự án được hưởng ưu đãi đầu tư đặc biệt đang được quy định trong dự thảo Luật căn cứ theo tổng số vốn đầu tư</w:t>
      </w:r>
      <w:r w:rsidRPr="00DC2B90">
        <w:rPr>
          <w:rFonts w:ascii="Times New Roman" w:eastAsia="Times New Roman" w:hAnsi="Times New Roman" w:cs="Times New Roman"/>
          <w:bCs/>
          <w:iCs/>
          <w:sz w:val="28"/>
          <w:szCs w:val="28"/>
          <w:lang w:val="en-GB"/>
        </w:rPr>
        <w:t>.</w:t>
      </w:r>
      <w:r w:rsidRPr="00DC2B90">
        <w:rPr>
          <w:rFonts w:ascii="Times New Roman" w:eastAsia="Times New Roman" w:hAnsi="Times New Roman" w:cs="Times New Roman"/>
          <w:bCs/>
          <w:iCs/>
          <w:sz w:val="28"/>
          <w:szCs w:val="28"/>
          <w:lang w:val="vi-VN"/>
        </w:rPr>
        <w:t xml:space="preserve"> </w:t>
      </w:r>
      <w:r w:rsidRPr="00DC2B90">
        <w:rPr>
          <w:rFonts w:ascii="Times New Roman" w:eastAsia="Times New Roman" w:hAnsi="Times New Roman" w:cs="Times New Roman"/>
          <w:bCs/>
          <w:iCs/>
          <w:sz w:val="28"/>
          <w:szCs w:val="28"/>
          <w:lang w:val="en-GB"/>
        </w:rPr>
        <w:t>D</w:t>
      </w:r>
      <w:r w:rsidRPr="00DC2B90">
        <w:rPr>
          <w:rFonts w:ascii="Times New Roman" w:eastAsia="Times New Roman" w:hAnsi="Times New Roman" w:cs="Times New Roman"/>
          <w:bCs/>
          <w:iCs/>
          <w:sz w:val="28"/>
          <w:szCs w:val="28"/>
          <w:lang w:val="vi-VN"/>
        </w:rPr>
        <w:t xml:space="preserve">ự thảo Luật chỉ quy định thời gian phải bảo đảm giải ngân 1/3 tổng số vốn đầu tư và chưa quy định thời gian để bảo đảm giải ngân hết đối với 2/3 tổng số vốn đầu tư còn lại. Vì vậy, sẽ không có căn cứ pháp lý để cơ quan quản lý thuế thực hiện hậu kiểm và chưa bảo đảm </w:t>
      </w:r>
      <w:r w:rsidRPr="00DC2B90">
        <w:rPr>
          <w:rFonts w:ascii="Times New Roman" w:eastAsia="Times New Roman" w:hAnsi="Times New Roman" w:cs="Times New Roman"/>
          <w:iCs/>
          <w:sz w:val="28"/>
          <w:szCs w:val="28"/>
          <w:lang w:val="vi-VN"/>
        </w:rPr>
        <w:t xml:space="preserve">tính tổng thể và sự chặt chẽ của quy định pháp luật. </w:t>
      </w:r>
    </w:p>
    <w:p w:rsidR="00025292" w:rsidRPr="00DC2B90" w:rsidRDefault="00025292" w:rsidP="00025292">
      <w:pPr>
        <w:spacing w:before="120" w:after="0" w:line="360" w:lineRule="exact"/>
        <w:jc w:val="both"/>
        <w:rPr>
          <w:rFonts w:ascii="Times New Roman" w:eastAsia="Times New Roman" w:hAnsi="Times New Roman" w:cs="Times New Roman"/>
          <w:iCs/>
          <w:sz w:val="28"/>
          <w:szCs w:val="28"/>
          <w:lang w:val="vi-VN"/>
        </w:rPr>
      </w:pPr>
      <w:r w:rsidRPr="00DC2B90">
        <w:rPr>
          <w:rFonts w:ascii="Times New Roman" w:eastAsia="Times New Roman" w:hAnsi="Times New Roman" w:cs="Times New Roman"/>
          <w:iCs/>
          <w:sz w:val="28"/>
          <w:szCs w:val="28"/>
          <w:lang w:val="en-GB"/>
        </w:rPr>
        <w:tab/>
      </w:r>
      <w:r w:rsidRPr="00DC2B90">
        <w:rPr>
          <w:rFonts w:ascii="Times New Roman" w:eastAsia="Times New Roman" w:hAnsi="Times New Roman" w:cs="Times New Roman"/>
          <w:b/>
          <w:bCs/>
          <w:i/>
          <w:sz w:val="28"/>
          <w:szCs w:val="28"/>
          <w:lang w:val="en-GB"/>
        </w:rPr>
        <w:t>4</w:t>
      </w:r>
      <w:r w:rsidRPr="00DC2B90">
        <w:rPr>
          <w:rFonts w:ascii="Times New Roman" w:eastAsia="Times New Roman" w:hAnsi="Times New Roman" w:cs="Times New Roman"/>
          <w:b/>
          <w:bCs/>
          <w:i/>
          <w:sz w:val="28"/>
          <w:szCs w:val="28"/>
          <w:lang w:val="vi-VN"/>
        </w:rPr>
        <w:t>. Về việc quyết định mức độ ưu đãi đầu tư đặc biệt</w:t>
      </w:r>
      <w:r w:rsidRPr="00DC2B90">
        <w:rPr>
          <w:rFonts w:ascii="Times New Roman" w:eastAsia="Times New Roman" w:hAnsi="Times New Roman" w:cs="Times New Roman"/>
          <w:b/>
          <w:bCs/>
          <w:i/>
          <w:sz w:val="28"/>
          <w:szCs w:val="28"/>
          <w:lang w:val="en-GB"/>
        </w:rPr>
        <w:t xml:space="preserve"> (Khoản 6 Điều 13, khoản 3 Điều 14)</w:t>
      </w:r>
      <w:r w:rsidRPr="00DC2B90">
        <w:rPr>
          <w:rFonts w:ascii="Times New Roman" w:eastAsia="Times New Roman" w:hAnsi="Times New Roman" w:cs="Times New Roman"/>
          <w:b/>
          <w:bCs/>
          <w:i/>
          <w:sz w:val="28"/>
          <w:szCs w:val="28"/>
          <w:lang w:val="vi-VN"/>
        </w:rPr>
        <w:t xml:space="preserve">: </w:t>
      </w:r>
      <w:r w:rsidRPr="00DC2B90">
        <w:rPr>
          <w:rFonts w:ascii="Times New Roman" w:eastAsia="Times New Roman" w:hAnsi="Times New Roman" w:cs="Times New Roman"/>
          <w:iCs/>
          <w:sz w:val="28"/>
          <w:szCs w:val="28"/>
          <w:lang w:val="en-GB"/>
        </w:rPr>
        <w:t>Dự</w:t>
      </w:r>
      <w:r w:rsidRPr="00DC2B90">
        <w:rPr>
          <w:rFonts w:ascii="Times New Roman" w:eastAsia="Times New Roman" w:hAnsi="Times New Roman" w:cs="Times New Roman"/>
          <w:iCs/>
          <w:sz w:val="28"/>
          <w:szCs w:val="28"/>
          <w:lang w:val="vi-VN"/>
        </w:rPr>
        <w:t xml:space="preserve"> thảo Luật giao Thủ tướng Chính phủ thẩm quyền quyết định việc kéo dài thời gian áp dụng thuế suất ưu đãi, thời gian được hưởng miễn, giảm thuế; mức miễn giảm bổ sung, áp dụng với dự án được hưởng ưu đãi đầu tư đặc biệt. Các nội dung này được quy định trong Luật Đầu tư 2020 và được tổng hợp vào dự thảo Luật </w:t>
      </w:r>
      <w:r w:rsidRPr="00DC2B90">
        <w:rPr>
          <w:rFonts w:ascii="Times New Roman" w:eastAsia="Times New Roman" w:hAnsi="Times New Roman" w:cs="Times New Roman"/>
          <w:iCs/>
          <w:sz w:val="28"/>
          <w:szCs w:val="28"/>
          <w:lang w:val="en-GB"/>
        </w:rPr>
        <w:t>Thuế</w:t>
      </w:r>
      <w:r w:rsidRPr="00DC2B90">
        <w:rPr>
          <w:rFonts w:ascii="Times New Roman" w:eastAsia="Times New Roman" w:hAnsi="Times New Roman" w:cs="Times New Roman"/>
          <w:iCs/>
          <w:sz w:val="28"/>
          <w:szCs w:val="28"/>
          <w:lang w:val="vi-VN"/>
        </w:rPr>
        <w:t xml:space="preserve"> TNDN. Đây là những khoản ưu đãi lớn, để thu hút các nhà đầu tư </w:t>
      </w:r>
      <w:r w:rsidRPr="00DC2B90">
        <w:rPr>
          <w:rFonts w:ascii="Times New Roman" w:eastAsia="Times New Roman" w:hAnsi="Times New Roman" w:cs="Times New Roman"/>
          <w:iCs/>
          <w:sz w:val="28"/>
          <w:szCs w:val="28"/>
          <w:lang w:val="en-GB"/>
        </w:rPr>
        <w:t>chiến lược</w:t>
      </w:r>
      <w:r w:rsidRPr="00DC2B90">
        <w:rPr>
          <w:rFonts w:ascii="Times New Roman" w:eastAsia="Times New Roman" w:hAnsi="Times New Roman" w:cs="Times New Roman"/>
          <w:iCs/>
          <w:sz w:val="28"/>
          <w:szCs w:val="28"/>
          <w:lang w:val="vi-VN"/>
        </w:rPr>
        <w:t xml:space="preserve">, là quyền lợi và nghĩa vụ của người nộp thuế, vì vậy, nhiều ý kiến đề nghị nên giao Chính phủ quy định để bảo đảm việc tổ chức thực hiện Luật một cách tổng thể và thống nhất. </w:t>
      </w:r>
    </w:p>
    <w:p w:rsidR="00025292" w:rsidRPr="00DC2B90" w:rsidRDefault="00025292" w:rsidP="00025292">
      <w:pPr>
        <w:spacing w:before="120" w:after="0" w:line="360" w:lineRule="exact"/>
        <w:jc w:val="both"/>
        <w:rPr>
          <w:rFonts w:ascii="Times New Roman" w:eastAsia="Times New Roman" w:hAnsi="Times New Roman" w:cs="Times New Roman"/>
          <w:iCs/>
          <w:sz w:val="28"/>
          <w:szCs w:val="28"/>
          <w:lang w:val="en-GB"/>
        </w:rPr>
      </w:pPr>
      <w:r w:rsidRPr="00DC2B90">
        <w:rPr>
          <w:rFonts w:ascii="Times New Roman" w:eastAsia="Times New Roman" w:hAnsi="Times New Roman" w:cs="Times New Roman"/>
          <w:iCs/>
          <w:sz w:val="28"/>
          <w:szCs w:val="28"/>
          <w:lang w:val="en-GB"/>
        </w:rPr>
        <w:tab/>
      </w:r>
      <w:r w:rsidRPr="00DC2B90">
        <w:rPr>
          <w:rFonts w:ascii="Times New Roman" w:eastAsia="Times New Roman" w:hAnsi="Times New Roman" w:cs="Times New Roman"/>
          <w:b/>
          <w:i/>
          <w:sz w:val="28"/>
          <w:szCs w:val="28"/>
          <w:lang w:val="en-GB"/>
        </w:rPr>
        <w:t>5</w:t>
      </w:r>
      <w:r w:rsidRPr="00DC2B90">
        <w:rPr>
          <w:rFonts w:ascii="Times New Roman" w:eastAsia="Times New Roman" w:hAnsi="Times New Roman" w:cs="Times New Roman"/>
          <w:b/>
          <w:i/>
          <w:sz w:val="28"/>
          <w:szCs w:val="28"/>
          <w:lang w:val="vi-VN"/>
        </w:rPr>
        <w:t>. Về ưu đãi thuế TNDN đối với đầu tư mở rộng (ĐTMR)</w:t>
      </w:r>
      <w:r w:rsidRPr="00DC2B90">
        <w:rPr>
          <w:rFonts w:ascii="Times New Roman" w:eastAsia="Times New Roman" w:hAnsi="Times New Roman" w:cs="Times New Roman"/>
          <w:b/>
          <w:i/>
          <w:sz w:val="28"/>
          <w:szCs w:val="28"/>
          <w:lang w:val="en-GB"/>
        </w:rPr>
        <w:t xml:space="preserve"> (Điều 14)</w:t>
      </w:r>
      <w:r w:rsidRPr="00DC2B90">
        <w:rPr>
          <w:rFonts w:ascii="Times New Roman" w:eastAsia="Times New Roman" w:hAnsi="Times New Roman" w:cs="Times New Roman"/>
          <w:iCs/>
          <w:sz w:val="28"/>
          <w:szCs w:val="28"/>
          <w:lang w:val="en-GB"/>
        </w:rPr>
        <w:t>:</w:t>
      </w:r>
    </w:p>
    <w:p w:rsidR="00025292" w:rsidRPr="00DC2B90" w:rsidRDefault="00025292" w:rsidP="00025292">
      <w:pPr>
        <w:spacing w:before="120" w:after="0" w:line="360" w:lineRule="exact"/>
        <w:ind w:firstLine="720"/>
        <w:jc w:val="both"/>
        <w:rPr>
          <w:rFonts w:ascii="Times New Roman" w:eastAsia="Times New Roman" w:hAnsi="Times New Roman" w:cs="Times New Roman"/>
          <w:iCs/>
          <w:sz w:val="28"/>
          <w:szCs w:val="28"/>
          <w:lang w:val="en-GB"/>
        </w:rPr>
      </w:pPr>
      <w:r w:rsidRPr="00DC2B90">
        <w:rPr>
          <w:rFonts w:ascii="Times New Roman" w:eastAsia="Times New Roman" w:hAnsi="Times New Roman" w:cs="Times New Roman"/>
          <w:iCs/>
          <w:sz w:val="28"/>
          <w:szCs w:val="28"/>
          <w:lang w:val="vi-VN"/>
        </w:rPr>
        <w:t>Đa số ý kiến trong Uỷ ban TCNS nhất trí với nội d</w:t>
      </w:r>
      <w:r w:rsidRPr="00DC2B90">
        <w:rPr>
          <w:rFonts w:ascii="Times New Roman" w:eastAsia="Times New Roman" w:hAnsi="Times New Roman" w:cs="Times New Roman"/>
          <w:iCs/>
          <w:sz w:val="28"/>
          <w:szCs w:val="28"/>
          <w:lang w:val="en-GB"/>
        </w:rPr>
        <w:t>u</w:t>
      </w:r>
      <w:r w:rsidRPr="00DC2B90">
        <w:rPr>
          <w:rFonts w:ascii="Times New Roman" w:eastAsia="Times New Roman" w:hAnsi="Times New Roman" w:cs="Times New Roman"/>
          <w:iCs/>
          <w:sz w:val="28"/>
          <w:szCs w:val="28"/>
          <w:lang w:val="vi-VN"/>
        </w:rPr>
        <w:t xml:space="preserve">ng sửa đổi </w:t>
      </w:r>
      <w:r w:rsidRPr="00DC2B90">
        <w:rPr>
          <w:rFonts w:ascii="Times New Roman" w:eastAsia="Times New Roman" w:hAnsi="Times New Roman" w:cs="Times New Roman"/>
          <w:iCs/>
          <w:sz w:val="28"/>
          <w:szCs w:val="28"/>
          <w:lang w:val="en-GB"/>
        </w:rPr>
        <w:t>tại</w:t>
      </w:r>
      <w:r w:rsidRPr="00DC2B90">
        <w:rPr>
          <w:rFonts w:ascii="Times New Roman" w:eastAsia="Times New Roman" w:hAnsi="Times New Roman" w:cs="Times New Roman"/>
          <w:iCs/>
          <w:sz w:val="28"/>
          <w:szCs w:val="28"/>
          <w:lang w:val="vi-VN"/>
        </w:rPr>
        <w:t xml:space="preserve"> dự thảo Luật</w:t>
      </w:r>
      <w:r w:rsidRPr="00DC2B90">
        <w:rPr>
          <w:rFonts w:ascii="Times New Roman" w:eastAsia="Times New Roman" w:hAnsi="Times New Roman" w:cs="Times New Roman"/>
          <w:iCs/>
          <w:sz w:val="28"/>
          <w:szCs w:val="28"/>
          <w:lang w:val="en-GB"/>
        </w:rPr>
        <w:t>,</w:t>
      </w:r>
      <w:r w:rsidRPr="00DC2B90">
        <w:rPr>
          <w:rFonts w:ascii="Times New Roman" w:eastAsia="Times New Roman" w:hAnsi="Times New Roman" w:cs="Times New Roman"/>
          <w:iCs/>
          <w:sz w:val="28"/>
          <w:szCs w:val="28"/>
          <w:lang w:val="vi-VN"/>
        </w:rPr>
        <w:t xml:space="preserve"> theo hướng bỏ yêu cầu phải hạch toán riêng đối với phần  thu nhập tăng thêm từ ĐTMR, theo đó phần thu nhập từ ĐTMR sẽ hưởng ưu đãi theo thời gian còn lại của dự án chính ban đầu. Tuy nhiên, đối với những trường hợp dự án ban đầu đã hết thời gian hưởng ưu đãi</w:t>
      </w:r>
      <w:r w:rsidRPr="00DC2B90">
        <w:rPr>
          <w:rFonts w:ascii="Times New Roman" w:eastAsia="Times New Roman" w:hAnsi="Times New Roman" w:cs="Times New Roman"/>
          <w:iCs/>
          <w:sz w:val="28"/>
          <w:szCs w:val="28"/>
          <w:lang w:val="en-GB"/>
        </w:rPr>
        <w:t>,</w:t>
      </w:r>
      <w:r w:rsidRPr="00DC2B90">
        <w:rPr>
          <w:rFonts w:ascii="Times New Roman" w:eastAsia="Times New Roman" w:hAnsi="Times New Roman" w:cs="Times New Roman"/>
          <w:iCs/>
          <w:sz w:val="28"/>
          <w:szCs w:val="28"/>
          <w:lang w:val="vi-VN"/>
        </w:rPr>
        <w:t xml:space="preserve"> thì dự thảo Luật tiếp tục quy định ĐTMR phải thực hiện hạch toán riêng để được hưởng ưu đãi như một dự án mới</w:t>
      </w:r>
      <w:r w:rsidRPr="00DC2B90">
        <w:rPr>
          <w:rFonts w:ascii="Times New Roman" w:eastAsia="Times New Roman" w:hAnsi="Times New Roman" w:cs="Times New Roman"/>
          <w:iCs/>
          <w:sz w:val="28"/>
          <w:szCs w:val="28"/>
          <w:lang w:val="en-GB"/>
        </w:rPr>
        <w:t>.</w:t>
      </w:r>
      <w:r w:rsidRPr="00DC2B90">
        <w:rPr>
          <w:rFonts w:ascii="Times New Roman" w:eastAsia="Times New Roman" w:hAnsi="Times New Roman" w:cs="Times New Roman"/>
          <w:iCs/>
          <w:sz w:val="28"/>
          <w:szCs w:val="28"/>
          <w:lang w:val="vi-VN"/>
        </w:rPr>
        <w:t xml:space="preserve"> </w:t>
      </w:r>
      <w:r w:rsidRPr="00DC2B90">
        <w:rPr>
          <w:rFonts w:ascii="Times New Roman" w:eastAsia="Times New Roman" w:hAnsi="Times New Roman" w:cs="Times New Roman"/>
          <w:iCs/>
          <w:sz w:val="28"/>
          <w:szCs w:val="28"/>
          <w:lang w:val="en-GB"/>
        </w:rPr>
        <w:t>Quy định này</w:t>
      </w:r>
      <w:r w:rsidRPr="00DC2B90">
        <w:rPr>
          <w:rFonts w:ascii="Times New Roman" w:eastAsia="Times New Roman" w:hAnsi="Times New Roman" w:cs="Times New Roman"/>
          <w:iCs/>
          <w:sz w:val="28"/>
          <w:szCs w:val="28"/>
          <w:lang w:val="vi-VN"/>
        </w:rPr>
        <w:t xml:space="preserve"> chưa giải quyết được vấn đề bất cập hiện hành </w:t>
      </w:r>
      <w:r w:rsidRPr="00DC2B90">
        <w:rPr>
          <w:rFonts w:ascii="Times New Roman" w:eastAsia="Times New Roman" w:hAnsi="Times New Roman" w:cs="Times New Roman"/>
          <w:iCs/>
          <w:sz w:val="28"/>
          <w:szCs w:val="28"/>
          <w:lang w:val="en-GB"/>
        </w:rPr>
        <w:t xml:space="preserve">và có thể </w:t>
      </w:r>
      <w:r w:rsidRPr="00DC2B90">
        <w:rPr>
          <w:rFonts w:ascii="Times New Roman" w:eastAsia="Times New Roman" w:hAnsi="Times New Roman" w:cs="Times New Roman"/>
          <w:iCs/>
          <w:sz w:val="28"/>
          <w:szCs w:val="28"/>
          <w:lang w:val="vi-VN"/>
        </w:rPr>
        <w:t>khuyến khích các doanh nghiệp trì hoãn việc ĐTMR để được hưởng gói ưu đãi lớn hơn như một dự án đầu tư mới</w:t>
      </w:r>
      <w:r w:rsidRPr="00DC2B90">
        <w:rPr>
          <w:rFonts w:ascii="Times New Roman" w:eastAsia="Times New Roman" w:hAnsi="Times New Roman" w:cs="Times New Roman"/>
          <w:iCs/>
          <w:sz w:val="28"/>
          <w:szCs w:val="28"/>
          <w:lang w:val="en-GB"/>
        </w:rPr>
        <w:t>.</w:t>
      </w:r>
    </w:p>
    <w:p w:rsidR="00025292" w:rsidRPr="00DC2B90" w:rsidRDefault="00025292" w:rsidP="00025292">
      <w:pPr>
        <w:spacing w:before="120" w:after="0" w:line="360" w:lineRule="exact"/>
        <w:jc w:val="both"/>
        <w:rPr>
          <w:rFonts w:ascii="Times New Roman" w:eastAsia="Times New Roman" w:hAnsi="Times New Roman" w:cs="Times New Roman"/>
          <w:iCs/>
          <w:sz w:val="28"/>
          <w:szCs w:val="28"/>
          <w:lang w:val="vi-VN"/>
        </w:rPr>
      </w:pPr>
      <w:r w:rsidRPr="00DC2B90">
        <w:rPr>
          <w:rFonts w:ascii="Times New Roman" w:eastAsia="Times New Roman" w:hAnsi="Times New Roman" w:cs="Times New Roman"/>
          <w:iCs/>
          <w:sz w:val="28"/>
          <w:szCs w:val="28"/>
          <w:lang w:val="vi-VN"/>
        </w:rPr>
        <w:tab/>
        <w:t>Ngoài ra, một số ý kiến cho rằng các tiêu chí về tài sản cố định tăng thêm theo giá trị tuyệt đối</w:t>
      </w:r>
      <w:r w:rsidRPr="00DC2B90">
        <w:rPr>
          <w:rFonts w:ascii="Times New Roman" w:eastAsia="Times New Roman" w:hAnsi="Times New Roman" w:cs="Times New Roman"/>
          <w:iCs/>
          <w:sz w:val="28"/>
          <w:szCs w:val="28"/>
          <w:lang w:val="en-GB"/>
        </w:rPr>
        <w:t xml:space="preserve"> </w:t>
      </w:r>
      <w:r w:rsidRPr="00DC2B90">
        <w:rPr>
          <w:rFonts w:ascii="Times New Roman" w:eastAsia="Times New Roman" w:hAnsi="Times New Roman" w:cs="Times New Roman"/>
          <w:iCs/>
          <w:sz w:val="28"/>
          <w:szCs w:val="28"/>
          <w:lang w:val="vi-VN"/>
        </w:rPr>
        <w:t xml:space="preserve">để xác định dự án ĐTMR được hưởng ưu đãi là chưa hợp lý và công bằng, vì tạo thuận lợi hơn cho các doanh nghiệp lớn, doanh nghiệp ĐTNN </w:t>
      </w:r>
      <w:r w:rsidRPr="00DC2B90">
        <w:rPr>
          <w:rFonts w:ascii="Times New Roman" w:eastAsia="Times New Roman" w:hAnsi="Times New Roman" w:cs="Times New Roman"/>
          <w:iCs/>
          <w:sz w:val="28"/>
          <w:szCs w:val="28"/>
          <w:lang w:val="vi-VN"/>
        </w:rPr>
        <w:lastRenderedPageBreak/>
        <w:t xml:space="preserve">và bất lợi hơn cho các doanh nghiệp trong nước, nhất là các doanh nghiệp nhỏ. Vì vậy, </w:t>
      </w:r>
      <w:r w:rsidRPr="00DC2B90">
        <w:rPr>
          <w:rFonts w:ascii="Times New Roman" w:eastAsia="Times New Roman" w:hAnsi="Times New Roman" w:cs="Times New Roman"/>
          <w:iCs/>
          <w:sz w:val="28"/>
          <w:szCs w:val="28"/>
          <w:lang w:val="en-GB"/>
        </w:rPr>
        <w:t>đề</w:t>
      </w:r>
      <w:r w:rsidRPr="00DC2B90">
        <w:rPr>
          <w:rFonts w:ascii="Times New Roman" w:eastAsia="Times New Roman" w:hAnsi="Times New Roman" w:cs="Times New Roman"/>
          <w:iCs/>
          <w:sz w:val="28"/>
          <w:szCs w:val="28"/>
          <w:lang w:val="vi-VN"/>
        </w:rPr>
        <w:t xml:space="preserve"> nghị cân nhắc hoàn thiện lại nội dung này, bảo đảm khách quan, công bằng và dễ quản lý.</w:t>
      </w:r>
    </w:p>
    <w:p w:rsidR="00025292" w:rsidRPr="00DC2B90" w:rsidRDefault="00025292" w:rsidP="00025292">
      <w:pPr>
        <w:spacing w:before="120" w:after="0" w:line="360" w:lineRule="exact"/>
        <w:jc w:val="both"/>
        <w:rPr>
          <w:rFonts w:ascii="Times New Roman" w:eastAsia="Times New Roman" w:hAnsi="Times New Roman" w:cs="Times New Roman"/>
          <w:b/>
          <w:i/>
          <w:sz w:val="28"/>
          <w:szCs w:val="28"/>
          <w:lang w:val="en-GB"/>
        </w:rPr>
      </w:pPr>
      <w:r w:rsidRPr="00DC2B90">
        <w:rPr>
          <w:rFonts w:ascii="Times New Roman" w:eastAsia="Times New Roman" w:hAnsi="Times New Roman" w:cs="Times New Roman"/>
          <w:iCs/>
          <w:sz w:val="28"/>
          <w:szCs w:val="28"/>
          <w:lang w:val="vi-VN"/>
        </w:rPr>
        <w:tab/>
      </w:r>
      <w:r w:rsidRPr="00DC2B90">
        <w:rPr>
          <w:rFonts w:ascii="Times New Roman" w:eastAsia="Times New Roman" w:hAnsi="Times New Roman" w:cs="Times New Roman"/>
          <w:b/>
          <w:i/>
          <w:sz w:val="28"/>
          <w:szCs w:val="28"/>
          <w:lang w:val="en-GB"/>
        </w:rPr>
        <w:t>6</w:t>
      </w:r>
      <w:r w:rsidRPr="00DC2B90">
        <w:rPr>
          <w:rFonts w:ascii="Times New Roman" w:eastAsia="Times New Roman" w:hAnsi="Times New Roman" w:cs="Times New Roman"/>
          <w:b/>
          <w:i/>
          <w:sz w:val="28"/>
          <w:szCs w:val="28"/>
          <w:lang w:val="vi-VN"/>
        </w:rPr>
        <w:t xml:space="preserve">. Về hình thức ưu đãi thuế TNDN </w:t>
      </w:r>
      <w:r w:rsidRPr="00DC2B90">
        <w:rPr>
          <w:rFonts w:ascii="Times New Roman" w:eastAsia="Times New Roman" w:hAnsi="Times New Roman" w:cs="Times New Roman"/>
          <w:b/>
          <w:i/>
          <w:sz w:val="28"/>
          <w:szCs w:val="28"/>
          <w:lang w:val="en-GB"/>
        </w:rPr>
        <w:t>(Điều 15)</w:t>
      </w:r>
    </w:p>
    <w:p w:rsidR="00025292" w:rsidRPr="00DC2B90" w:rsidRDefault="00025292" w:rsidP="00025292">
      <w:pPr>
        <w:spacing w:before="120" w:after="0" w:line="360" w:lineRule="exact"/>
        <w:jc w:val="both"/>
        <w:rPr>
          <w:rFonts w:ascii="Times New Roman" w:eastAsia="Times New Roman" w:hAnsi="Times New Roman" w:cs="Times New Roman"/>
          <w:iCs/>
          <w:sz w:val="28"/>
          <w:szCs w:val="28"/>
          <w:lang w:val="vi-VN"/>
        </w:rPr>
      </w:pPr>
      <w:r w:rsidRPr="00DC2B90">
        <w:rPr>
          <w:rFonts w:ascii="Times New Roman" w:eastAsia="Times New Roman" w:hAnsi="Times New Roman" w:cs="Times New Roman"/>
          <w:iCs/>
          <w:sz w:val="28"/>
          <w:szCs w:val="28"/>
          <w:lang w:val="en-GB"/>
        </w:rPr>
        <w:tab/>
      </w:r>
      <w:r w:rsidRPr="00DC2B90">
        <w:rPr>
          <w:rFonts w:ascii="Times New Roman" w:eastAsia="Times New Roman" w:hAnsi="Times New Roman" w:cs="Times New Roman"/>
          <w:iCs/>
          <w:sz w:val="28"/>
          <w:szCs w:val="28"/>
          <w:lang w:val="vi-VN"/>
        </w:rPr>
        <w:t>Dự thảo Luật tiếp tục duy trì các hình thức ưu đãi thuế dựa trên thu nhập, như miễn thuế, giảm số thuế phải nộp và các mức thuế suất ưu đãi</w:t>
      </w:r>
      <w:r w:rsidRPr="00DC2B90">
        <w:rPr>
          <w:rFonts w:ascii="Times New Roman" w:eastAsia="Times New Roman" w:hAnsi="Times New Roman" w:cs="Times New Roman"/>
          <w:iCs/>
          <w:sz w:val="28"/>
          <w:szCs w:val="28"/>
          <w:lang w:val="en-GB"/>
        </w:rPr>
        <w:t>.</w:t>
      </w:r>
      <w:r w:rsidRPr="00DC2B90">
        <w:rPr>
          <w:rFonts w:ascii="Times New Roman" w:eastAsia="Times New Roman" w:hAnsi="Times New Roman" w:cs="Times New Roman"/>
          <w:iCs/>
          <w:sz w:val="28"/>
          <w:szCs w:val="28"/>
          <w:lang w:val="vi-VN"/>
        </w:rPr>
        <w:t xml:space="preserve"> Hình thức ưu đãi thuế TNDN dựa trên chi phí nghiên cứu phát triển hiện đã được quy định tại một số Nghị quyết của Quốc hội về cơ chế đặc thù, áp dụng thí điểm tại một số địa phương. Tuy nhiên, các nội dung này trên thực tế vẫn chưa được triển khai để có thể đánh giá</w:t>
      </w:r>
      <w:r w:rsidRPr="00DC2B90">
        <w:rPr>
          <w:rFonts w:ascii="Times New Roman" w:eastAsia="Times New Roman" w:hAnsi="Times New Roman" w:cs="Times New Roman"/>
          <w:iCs/>
          <w:sz w:val="28"/>
          <w:szCs w:val="28"/>
          <w:lang w:val="en-GB"/>
        </w:rPr>
        <w:t xml:space="preserve"> tác động</w:t>
      </w:r>
      <w:r w:rsidRPr="00DC2B90">
        <w:rPr>
          <w:rFonts w:ascii="Times New Roman" w:eastAsia="Times New Roman" w:hAnsi="Times New Roman" w:cs="Times New Roman"/>
          <w:iCs/>
          <w:sz w:val="28"/>
          <w:szCs w:val="28"/>
          <w:lang w:val="vi-VN"/>
        </w:rPr>
        <w:t xml:space="preserve"> làm cơ sở áp dụng chung</w:t>
      </w:r>
      <w:r w:rsidRPr="00DC2B90">
        <w:rPr>
          <w:rFonts w:ascii="Times New Roman" w:eastAsia="Times New Roman" w:hAnsi="Times New Roman" w:cs="Times New Roman"/>
          <w:iCs/>
          <w:sz w:val="28"/>
          <w:szCs w:val="28"/>
          <w:lang w:val="en-GB"/>
        </w:rPr>
        <w:t xml:space="preserve"> cho cả nước</w:t>
      </w:r>
      <w:r w:rsidRPr="00DC2B90">
        <w:rPr>
          <w:rFonts w:ascii="Times New Roman" w:eastAsia="Times New Roman" w:hAnsi="Times New Roman" w:cs="Times New Roman"/>
          <w:iCs/>
          <w:sz w:val="28"/>
          <w:szCs w:val="28"/>
          <w:lang w:val="vi-VN"/>
        </w:rPr>
        <w:t>. Đề nghị khẩn trương</w:t>
      </w:r>
      <w:r w:rsidRPr="00DC2B90">
        <w:rPr>
          <w:rFonts w:ascii="Times New Roman" w:eastAsia="Times New Roman" w:hAnsi="Times New Roman" w:cs="Times New Roman"/>
          <w:iCs/>
          <w:sz w:val="28"/>
          <w:szCs w:val="28"/>
          <w:lang w:val="en-GB"/>
        </w:rPr>
        <w:t xml:space="preserve"> có giải pháp</w:t>
      </w:r>
      <w:r w:rsidRPr="00DC2B90">
        <w:rPr>
          <w:rFonts w:ascii="Times New Roman" w:eastAsia="Times New Roman" w:hAnsi="Times New Roman" w:cs="Times New Roman"/>
          <w:iCs/>
          <w:sz w:val="28"/>
          <w:szCs w:val="28"/>
          <w:lang w:val="vi-VN"/>
        </w:rPr>
        <w:t xml:space="preserve"> đưa những nội dung này vào áp dụng trên thực tế. Một số ý kiến đề nghị nghiên cứu đa dạng hoá chính sách ưu đãi thuế để không phụ thuộc vào ưu đãi theo thu nhập như hiện nay</w:t>
      </w:r>
      <w:r w:rsidRPr="00DC2B90">
        <w:rPr>
          <w:rFonts w:ascii="Times New Roman" w:eastAsia="Times New Roman" w:hAnsi="Times New Roman" w:cs="Times New Roman"/>
          <w:iCs/>
          <w:sz w:val="28"/>
          <w:szCs w:val="28"/>
          <w:lang w:val="en-GB"/>
        </w:rPr>
        <w:t>,</w:t>
      </w:r>
      <w:r w:rsidRPr="00DC2B90">
        <w:rPr>
          <w:rFonts w:ascii="Times New Roman" w:eastAsia="Times New Roman" w:hAnsi="Times New Roman" w:cs="Times New Roman"/>
          <w:iCs/>
          <w:sz w:val="28"/>
          <w:szCs w:val="28"/>
          <w:lang w:val="vi-VN"/>
        </w:rPr>
        <w:t xml:space="preserve"> cần kết hợp song song với các biện pháp ưu đãi dựa trên chi phí</w:t>
      </w:r>
      <w:r w:rsidRPr="00DC2B90">
        <w:rPr>
          <w:rFonts w:ascii="Times New Roman" w:eastAsia="Times New Roman" w:hAnsi="Times New Roman" w:cs="Times New Roman"/>
          <w:iCs/>
          <w:sz w:val="28"/>
          <w:szCs w:val="28"/>
          <w:lang w:val="en-GB"/>
        </w:rPr>
        <w:t>,</w:t>
      </w:r>
      <w:r w:rsidRPr="00DC2B90">
        <w:rPr>
          <w:rFonts w:ascii="Times New Roman" w:eastAsia="Times New Roman" w:hAnsi="Times New Roman" w:cs="Times New Roman"/>
          <w:iCs/>
          <w:sz w:val="28"/>
          <w:szCs w:val="28"/>
          <w:lang w:val="vi-VN"/>
        </w:rPr>
        <w:t xml:space="preserve"> như kinh nghiệm quốc tế để thu hút những nhà đầu tư thế hệ mới.</w:t>
      </w:r>
    </w:p>
    <w:p w:rsidR="00025292" w:rsidRPr="00DC2B90" w:rsidRDefault="00025292" w:rsidP="00025292">
      <w:pPr>
        <w:spacing w:before="120" w:after="0" w:line="360" w:lineRule="exact"/>
        <w:jc w:val="both"/>
        <w:rPr>
          <w:rFonts w:ascii="Times New Roman" w:eastAsia="Times New Roman" w:hAnsi="Times New Roman" w:cs="Times New Roman"/>
          <w:b/>
          <w:i/>
          <w:sz w:val="28"/>
          <w:szCs w:val="28"/>
          <w:lang w:val="vi-VN"/>
        </w:rPr>
      </w:pPr>
      <w:r w:rsidRPr="00DC2B90">
        <w:rPr>
          <w:rFonts w:ascii="Times New Roman" w:eastAsia="Times New Roman" w:hAnsi="Times New Roman" w:cs="Times New Roman"/>
          <w:iCs/>
          <w:sz w:val="28"/>
          <w:szCs w:val="28"/>
          <w:lang w:val="vi-VN"/>
        </w:rPr>
        <w:tab/>
      </w:r>
      <w:r w:rsidRPr="00DC2B90">
        <w:rPr>
          <w:rFonts w:ascii="Times New Roman" w:eastAsia="Times New Roman" w:hAnsi="Times New Roman" w:cs="Times New Roman"/>
          <w:b/>
          <w:i/>
          <w:sz w:val="28"/>
          <w:szCs w:val="28"/>
          <w:lang w:val="en-GB"/>
        </w:rPr>
        <w:t>7</w:t>
      </w:r>
      <w:r w:rsidRPr="00DC2B90">
        <w:rPr>
          <w:rFonts w:ascii="Times New Roman" w:eastAsia="Times New Roman" w:hAnsi="Times New Roman" w:cs="Times New Roman"/>
          <w:b/>
          <w:i/>
          <w:sz w:val="28"/>
          <w:szCs w:val="28"/>
          <w:lang w:val="vi-VN"/>
        </w:rPr>
        <w:t>. Về ưu đãi thuế TNDN đối với các nhà đầu tư mới thuộc diện áp dụng thuế tối thiểu toàn cầu</w:t>
      </w:r>
      <w:r w:rsidRPr="00DC2B90">
        <w:rPr>
          <w:rFonts w:ascii="Times New Roman" w:hAnsi="Times New Roman" w:cs="Times New Roman"/>
          <w:kern w:val="2"/>
          <w:sz w:val="28"/>
          <w:szCs w:val="28"/>
          <w:lang w:val="vi-VN"/>
        </w:rPr>
        <w:t xml:space="preserve"> </w:t>
      </w:r>
    </w:p>
    <w:p w:rsidR="00025292" w:rsidRPr="00DC2B90" w:rsidRDefault="00025292" w:rsidP="00025292">
      <w:pPr>
        <w:spacing w:before="120" w:after="0" w:line="360" w:lineRule="exact"/>
        <w:ind w:firstLine="720"/>
        <w:jc w:val="both"/>
        <w:rPr>
          <w:rFonts w:ascii="Times New Roman" w:eastAsia="Times New Roman" w:hAnsi="Times New Roman" w:cs="Times New Roman"/>
          <w:iCs/>
          <w:sz w:val="28"/>
          <w:szCs w:val="28"/>
          <w:lang w:val="nl-NL"/>
        </w:rPr>
      </w:pPr>
      <w:r w:rsidRPr="00DC2B90">
        <w:rPr>
          <w:rFonts w:ascii="Times New Roman" w:eastAsia="Times New Roman" w:hAnsi="Times New Roman" w:cs="Times New Roman"/>
          <w:iCs/>
          <w:sz w:val="28"/>
          <w:szCs w:val="28"/>
          <w:lang w:val="vi-VN"/>
        </w:rPr>
        <w:t xml:space="preserve">Dự thảo Luật bổ sung các chính sách ưu đãi thuế đặc biệt, để thu hút các nhà đầu tư mới, các nhà đầu tư </w:t>
      </w:r>
      <w:r w:rsidRPr="00DC2B90">
        <w:rPr>
          <w:rFonts w:ascii="Times New Roman" w:eastAsia="Times New Roman" w:hAnsi="Times New Roman" w:cs="Times New Roman"/>
          <w:iCs/>
          <w:sz w:val="28"/>
          <w:szCs w:val="28"/>
          <w:lang w:val="en-GB"/>
        </w:rPr>
        <w:t>lớn, chiến lược</w:t>
      </w:r>
      <w:r w:rsidRPr="00DC2B90">
        <w:rPr>
          <w:rFonts w:ascii="Times New Roman" w:eastAsia="Times New Roman" w:hAnsi="Times New Roman" w:cs="Times New Roman"/>
          <w:iCs/>
          <w:sz w:val="28"/>
          <w:szCs w:val="28"/>
          <w:lang w:val="vi-VN"/>
        </w:rPr>
        <w:t xml:space="preserve">. Tuy nhiên, với hiệu lực của Nghị quyết </w:t>
      </w:r>
      <w:r w:rsidRPr="00DC2B90">
        <w:rPr>
          <w:rFonts w:ascii="Times New Roman" w:eastAsia="Times New Roman" w:hAnsi="Times New Roman" w:cs="Times New Roman"/>
          <w:iCs/>
          <w:sz w:val="28"/>
          <w:szCs w:val="28"/>
          <w:lang w:val="en-GB"/>
        </w:rPr>
        <w:t xml:space="preserve">số </w:t>
      </w:r>
      <w:r w:rsidRPr="00DC2B90">
        <w:rPr>
          <w:rFonts w:ascii="Times New Roman" w:eastAsia="Times New Roman" w:hAnsi="Times New Roman" w:cs="Times New Roman"/>
          <w:iCs/>
          <w:sz w:val="28"/>
          <w:szCs w:val="28"/>
          <w:lang w:val="vi-VN"/>
        </w:rPr>
        <w:t xml:space="preserve">107/2023/QH15 về thuế TNDN bổ sung (thuế tối thiểu toàn cầu) thì đồng thời với việc được hưởng các ưu đãi miễn giảm thuế đặc biệt, các nhà đầu tư </w:t>
      </w:r>
      <w:r w:rsidRPr="00DC2B90">
        <w:rPr>
          <w:rFonts w:ascii="Times New Roman" w:eastAsia="Times New Roman" w:hAnsi="Times New Roman" w:cs="Times New Roman"/>
          <w:iCs/>
          <w:sz w:val="28"/>
          <w:szCs w:val="28"/>
          <w:lang w:val="en-GB"/>
        </w:rPr>
        <w:t>lớn</w:t>
      </w:r>
      <w:r w:rsidRPr="00DC2B90">
        <w:rPr>
          <w:rFonts w:ascii="Times New Roman" w:eastAsia="Times New Roman" w:hAnsi="Times New Roman" w:cs="Times New Roman"/>
          <w:iCs/>
          <w:sz w:val="28"/>
          <w:szCs w:val="28"/>
          <w:lang w:val="vi-VN"/>
        </w:rPr>
        <w:t xml:space="preserve"> (có doanh thu toàn cầu trên 750 triệu Euro/năm) sẽ vẫn phải nộp thuế TNDN bổ sung ở mức 15%. Với thực thế này, nhiều ý kiến </w:t>
      </w:r>
      <w:r w:rsidRPr="00DC2B90">
        <w:rPr>
          <w:rFonts w:ascii="Times New Roman" w:eastAsia="Times New Roman" w:hAnsi="Times New Roman" w:cs="Times New Roman"/>
          <w:iCs/>
          <w:sz w:val="28"/>
          <w:szCs w:val="28"/>
          <w:lang w:val="en-GB"/>
        </w:rPr>
        <w:t>đề nghị làm rõ hơn</w:t>
      </w:r>
      <w:r w:rsidRPr="00DC2B90">
        <w:rPr>
          <w:rFonts w:ascii="Times New Roman" w:eastAsia="Times New Roman" w:hAnsi="Times New Roman" w:cs="Times New Roman"/>
          <w:iCs/>
          <w:sz w:val="28"/>
          <w:szCs w:val="28"/>
          <w:lang w:val="vi-VN"/>
        </w:rPr>
        <w:t xml:space="preserve"> về hiệu quả của chính sách ưu đãi thuế đặc biệt áp dụng cho các nhà đầu tư lớn, khi vừa thực hiện ưu đãi đặc biệt vừa thu lại thuế bổ sung. Vì vậy, đề nghị </w:t>
      </w:r>
      <w:r w:rsidRPr="00DC2B90">
        <w:rPr>
          <w:rFonts w:ascii="Times New Roman" w:eastAsia="Times New Roman" w:hAnsi="Times New Roman" w:cs="Times New Roman"/>
          <w:iCs/>
          <w:sz w:val="28"/>
          <w:szCs w:val="28"/>
          <w:lang w:val="en-GB"/>
        </w:rPr>
        <w:t>Cơ quan soạn thảo</w:t>
      </w:r>
      <w:r w:rsidRPr="00DC2B90">
        <w:rPr>
          <w:rFonts w:ascii="Times New Roman" w:eastAsia="Times New Roman" w:hAnsi="Times New Roman" w:cs="Times New Roman"/>
          <w:iCs/>
          <w:sz w:val="28"/>
          <w:szCs w:val="28"/>
          <w:lang w:val="vi-VN"/>
        </w:rPr>
        <w:t xml:space="preserve"> cân nhắc quy định mức thuế suất 15% áp dụng cho các doanh nghiệp thuộc diện phải chịu thuế tối thiểu toàn cầu để không tạo ra chi phí quản lý và các thủ tục hành chính không cần thiết cho cả cơ quan quản lý nhà nước và doanh nghiệp, đồng thời nghiên cứu, xây dựng các chính sách thu hút đầu tư khác </w:t>
      </w:r>
      <w:r w:rsidRPr="00DC2B90">
        <w:rPr>
          <w:rFonts w:ascii="Times New Roman" w:eastAsia="Times New Roman" w:hAnsi="Times New Roman" w:cs="Times New Roman"/>
          <w:iCs/>
          <w:sz w:val="28"/>
          <w:szCs w:val="28"/>
          <w:lang w:val="en-GB"/>
        </w:rPr>
        <w:t>phù hợp</w:t>
      </w:r>
      <w:r w:rsidRPr="00DC2B90">
        <w:rPr>
          <w:rFonts w:ascii="Times New Roman" w:eastAsia="Times New Roman" w:hAnsi="Times New Roman" w:cs="Times New Roman"/>
          <w:iCs/>
          <w:sz w:val="28"/>
          <w:szCs w:val="28"/>
          <w:lang w:val="vi-VN"/>
        </w:rPr>
        <w:t xml:space="preserve"> và hiệu quả hơn.</w:t>
      </w:r>
      <w:r w:rsidRPr="00DC2B90">
        <w:rPr>
          <w:rFonts w:ascii="Times New Roman" w:eastAsia="Times New Roman" w:hAnsi="Times New Roman" w:cs="Times New Roman"/>
          <w:iCs/>
          <w:sz w:val="28"/>
          <w:szCs w:val="28"/>
          <w:highlight w:val="yellow"/>
          <w:lang w:val="vi-VN"/>
        </w:rPr>
        <w:t xml:space="preserve"> </w:t>
      </w:r>
      <w:r w:rsidRPr="00DC2B90">
        <w:rPr>
          <w:rFonts w:ascii="Times New Roman" w:eastAsia="Times New Roman" w:hAnsi="Times New Roman" w:cs="Times New Roman"/>
          <w:iCs/>
          <w:sz w:val="28"/>
          <w:szCs w:val="28"/>
          <w:highlight w:val="yellow"/>
          <w:lang w:val="nl-NL"/>
        </w:rPr>
        <w:t xml:space="preserve"> </w:t>
      </w:r>
    </w:p>
    <w:p w:rsidR="00025292" w:rsidRPr="00DC2B90" w:rsidRDefault="00025292" w:rsidP="00025292">
      <w:pPr>
        <w:spacing w:before="120" w:after="0" w:line="360" w:lineRule="exact"/>
        <w:ind w:firstLine="720"/>
        <w:jc w:val="both"/>
        <w:rPr>
          <w:rFonts w:ascii="Times New Roman" w:hAnsi="Times New Roman" w:cs="Times New Roman"/>
          <w:b/>
          <w:bCs/>
          <w:sz w:val="24"/>
          <w:szCs w:val="24"/>
          <w:lang w:val="vi-VN"/>
        </w:rPr>
      </w:pPr>
      <w:r w:rsidRPr="00DC2B90">
        <w:rPr>
          <w:rFonts w:ascii="Times New Roman" w:hAnsi="Times New Roman" w:cs="Times New Roman"/>
          <w:b/>
          <w:bCs/>
          <w:sz w:val="24"/>
          <w:szCs w:val="24"/>
          <w:lang w:val="vi-VN"/>
        </w:rPr>
        <w:t>III. MỘT SỐ N</w:t>
      </w:r>
      <w:bookmarkStart w:id="2" w:name="_GoBack"/>
      <w:bookmarkEnd w:id="2"/>
      <w:r w:rsidRPr="00DC2B90">
        <w:rPr>
          <w:rFonts w:ascii="Times New Roman" w:hAnsi="Times New Roman" w:cs="Times New Roman"/>
          <w:b/>
          <w:bCs/>
          <w:sz w:val="24"/>
          <w:szCs w:val="24"/>
          <w:lang w:val="vi-VN"/>
        </w:rPr>
        <w:t>ỘI DUNG ĐỀ NGHỊ ĐẠI BIỂU TẬP TRUNG THẢO LUẬN</w:t>
      </w:r>
    </w:p>
    <w:p w:rsidR="00025292" w:rsidRPr="00DC2B90" w:rsidRDefault="00025292" w:rsidP="00025292">
      <w:pPr>
        <w:spacing w:before="120" w:after="0" w:line="360" w:lineRule="exact"/>
        <w:ind w:firstLine="720"/>
        <w:jc w:val="both"/>
        <w:rPr>
          <w:rFonts w:ascii="Times New Roman" w:hAnsi="Times New Roman" w:cs="Times New Roman"/>
          <w:sz w:val="28"/>
          <w:szCs w:val="28"/>
          <w:lang w:val="vi-VN"/>
        </w:rPr>
      </w:pPr>
      <w:r w:rsidRPr="00DC2B90">
        <w:rPr>
          <w:rFonts w:ascii="Times New Roman" w:hAnsi="Times New Roman" w:cs="Times New Roman"/>
          <w:sz w:val="28"/>
          <w:szCs w:val="28"/>
          <w:lang w:val="vi-VN"/>
        </w:rPr>
        <w:t>Ủy ban Tài chính, Ngân sách trân trọng đề nghị các vị đại biểu Quốc hội tập trung thảo luận, cho ý kiến về một số nội dung sau:</w:t>
      </w:r>
    </w:p>
    <w:p w:rsidR="00025292" w:rsidRPr="00DC2B90" w:rsidRDefault="00025292" w:rsidP="00025292">
      <w:pPr>
        <w:spacing w:before="120" w:after="0" w:line="360" w:lineRule="exact"/>
        <w:ind w:firstLine="720"/>
        <w:jc w:val="both"/>
        <w:rPr>
          <w:rFonts w:ascii="Times New Roman" w:hAnsi="Times New Roman" w:cs="Times New Roman"/>
          <w:sz w:val="28"/>
          <w:szCs w:val="28"/>
          <w:lang w:val="en-GB"/>
        </w:rPr>
      </w:pPr>
      <w:r w:rsidRPr="00DC2B90">
        <w:rPr>
          <w:rFonts w:ascii="Times New Roman" w:hAnsi="Times New Roman" w:cs="Times New Roman"/>
          <w:sz w:val="28"/>
          <w:szCs w:val="28"/>
          <w:lang w:val="vi-VN"/>
        </w:rPr>
        <w:t xml:space="preserve">1. </w:t>
      </w:r>
      <w:r w:rsidRPr="00DC2B90">
        <w:rPr>
          <w:rFonts w:ascii="Times New Roman" w:hAnsi="Times New Roman" w:cs="Times New Roman"/>
          <w:bCs/>
          <w:sz w:val="28"/>
          <w:szCs w:val="28"/>
          <w:lang w:val="vi-VN"/>
        </w:rPr>
        <w:t xml:space="preserve">Về người nộp thuế </w:t>
      </w:r>
      <w:r w:rsidRPr="00DC2B90">
        <w:rPr>
          <w:rFonts w:ascii="Times New Roman" w:hAnsi="Times New Roman" w:cs="Times New Roman"/>
          <w:bCs/>
          <w:iCs/>
          <w:sz w:val="28"/>
          <w:szCs w:val="28"/>
          <w:lang w:val="vi-VN"/>
        </w:rPr>
        <w:t>là các tổ chức nước ngoài có hoạt động kinh doanh trên nền tảng thương mại điện tử, nền tảng số với các tổ chức cá nhân tại Việt Nam</w:t>
      </w:r>
      <w:r w:rsidRPr="00DC2B90">
        <w:rPr>
          <w:rFonts w:ascii="Times New Roman" w:hAnsi="Times New Roman" w:cs="Times New Roman"/>
          <w:bCs/>
          <w:iCs/>
          <w:sz w:val="28"/>
          <w:szCs w:val="28"/>
          <w:lang w:val="en-GB"/>
        </w:rPr>
        <w:t>.</w:t>
      </w:r>
    </w:p>
    <w:p w:rsidR="00025292" w:rsidRPr="00DC2B90" w:rsidRDefault="00025292" w:rsidP="00025292">
      <w:pPr>
        <w:spacing w:before="120" w:after="0" w:line="360" w:lineRule="exact"/>
        <w:ind w:firstLine="720"/>
        <w:jc w:val="both"/>
        <w:rPr>
          <w:rFonts w:ascii="Times New Roman" w:hAnsi="Times New Roman" w:cs="Times New Roman"/>
          <w:sz w:val="28"/>
          <w:szCs w:val="28"/>
          <w:lang w:val="en-GB"/>
        </w:rPr>
      </w:pPr>
      <w:r w:rsidRPr="00DC2B90">
        <w:rPr>
          <w:rFonts w:ascii="Times New Roman" w:hAnsi="Times New Roman" w:cs="Times New Roman"/>
          <w:sz w:val="28"/>
          <w:szCs w:val="28"/>
          <w:lang w:val="vi-VN"/>
        </w:rPr>
        <w:t>2. Về thuế TNDN đối với các doanh nghiệp nhỏ và siêu nhỏ</w:t>
      </w:r>
      <w:r w:rsidRPr="00DC2B90">
        <w:rPr>
          <w:rFonts w:ascii="Times New Roman" w:hAnsi="Times New Roman" w:cs="Times New Roman"/>
          <w:sz w:val="28"/>
          <w:szCs w:val="28"/>
          <w:lang w:val="en-GB"/>
        </w:rPr>
        <w:t>.</w:t>
      </w:r>
    </w:p>
    <w:p w:rsidR="00025292" w:rsidRPr="00DC2B90" w:rsidRDefault="00025292" w:rsidP="00025292">
      <w:pPr>
        <w:spacing w:before="120" w:after="0" w:line="360" w:lineRule="exact"/>
        <w:ind w:firstLine="720"/>
        <w:jc w:val="both"/>
        <w:rPr>
          <w:rFonts w:ascii="Times New Roman" w:hAnsi="Times New Roman" w:cs="Times New Roman"/>
          <w:sz w:val="28"/>
          <w:szCs w:val="28"/>
          <w:lang w:val="en-GB"/>
        </w:rPr>
      </w:pPr>
      <w:r w:rsidRPr="00DC2B90">
        <w:rPr>
          <w:rFonts w:ascii="Times New Roman" w:hAnsi="Times New Roman" w:cs="Times New Roman"/>
          <w:sz w:val="28"/>
          <w:szCs w:val="28"/>
          <w:lang w:val="vi-VN"/>
        </w:rPr>
        <w:lastRenderedPageBreak/>
        <w:t>3. Về phương pháp tính thuế theo tỷ lệ trên doanh thu</w:t>
      </w:r>
      <w:r w:rsidRPr="00DC2B90">
        <w:rPr>
          <w:rFonts w:ascii="Times New Roman" w:hAnsi="Times New Roman" w:cs="Times New Roman"/>
          <w:sz w:val="28"/>
          <w:szCs w:val="28"/>
          <w:lang w:val="en-GB"/>
        </w:rPr>
        <w:t>.</w:t>
      </w:r>
    </w:p>
    <w:p w:rsidR="00025292" w:rsidRPr="00DC2B90" w:rsidRDefault="00025292" w:rsidP="00025292">
      <w:pPr>
        <w:spacing w:before="120" w:after="0" w:line="360" w:lineRule="exact"/>
        <w:ind w:firstLine="720"/>
        <w:jc w:val="both"/>
        <w:rPr>
          <w:rFonts w:ascii="Times New Roman" w:hAnsi="Times New Roman" w:cs="Times New Roman"/>
          <w:sz w:val="28"/>
          <w:szCs w:val="28"/>
          <w:lang w:val="en-GB"/>
        </w:rPr>
      </w:pPr>
      <w:r w:rsidRPr="00DC2B90">
        <w:rPr>
          <w:rFonts w:ascii="Times New Roman" w:hAnsi="Times New Roman" w:cs="Times New Roman"/>
          <w:sz w:val="28"/>
          <w:szCs w:val="28"/>
          <w:lang w:val="vi-VN"/>
        </w:rPr>
        <w:t>4. Về các ưu đãi thuế (nguyên tắc áp dụng ưu đãi thuế TNDN trong mối liên hệ với các Luật khác; các vấn đề về ưu đãi đầu tư đặc biệt và mối liên hệ với việc thu thuế TNDN bổ sung theo quy định</w:t>
      </w:r>
      <w:r w:rsidRPr="00DC2B90">
        <w:rPr>
          <w:rFonts w:ascii="Times New Roman" w:hAnsi="Times New Roman" w:cs="Times New Roman"/>
          <w:sz w:val="28"/>
          <w:szCs w:val="28"/>
          <w:lang w:val="en-GB"/>
        </w:rPr>
        <w:t xml:space="preserve"> </w:t>
      </w:r>
      <w:r w:rsidRPr="00DC2B90">
        <w:rPr>
          <w:rFonts w:ascii="Times New Roman" w:hAnsi="Times New Roman" w:cs="Times New Roman"/>
          <w:sz w:val="28"/>
          <w:szCs w:val="28"/>
          <w:lang w:val="vi-VN"/>
        </w:rPr>
        <w:t>chống xói mòn cơ sở thuế, về đầu tư mở rộng)</w:t>
      </w:r>
      <w:r w:rsidRPr="00DC2B90">
        <w:rPr>
          <w:rFonts w:ascii="Times New Roman" w:hAnsi="Times New Roman" w:cs="Times New Roman"/>
          <w:sz w:val="28"/>
          <w:szCs w:val="28"/>
          <w:lang w:val="en-GB"/>
        </w:rPr>
        <w:t>.</w:t>
      </w:r>
    </w:p>
    <w:p w:rsidR="00025292" w:rsidRPr="00DC2B90" w:rsidRDefault="00025292" w:rsidP="00025292">
      <w:pPr>
        <w:spacing w:before="120" w:after="0" w:line="360" w:lineRule="exact"/>
        <w:ind w:firstLine="720"/>
        <w:jc w:val="both"/>
        <w:rPr>
          <w:rFonts w:ascii="Times New Roman" w:hAnsi="Times New Roman" w:cs="Times New Roman"/>
          <w:sz w:val="28"/>
          <w:szCs w:val="28"/>
          <w:lang w:val="vi-VN"/>
        </w:rPr>
      </w:pPr>
      <w:r w:rsidRPr="00DC2B90">
        <w:rPr>
          <w:rFonts w:ascii="Times New Roman" w:hAnsi="Times New Roman" w:cs="Times New Roman"/>
          <w:sz w:val="28"/>
          <w:szCs w:val="28"/>
          <w:lang w:val="vi-VN"/>
        </w:rPr>
        <w:t>5. Các nội dung khác mà đại biểu Quốc hội quan tâm.</w:t>
      </w:r>
    </w:p>
    <w:p w:rsidR="00025292" w:rsidRPr="00DC2B90" w:rsidRDefault="00025292" w:rsidP="00025292">
      <w:pPr>
        <w:spacing w:before="120" w:after="0" w:line="360" w:lineRule="exact"/>
        <w:ind w:firstLine="720"/>
        <w:jc w:val="both"/>
        <w:rPr>
          <w:rFonts w:ascii="Times New Roman" w:hAnsi="Times New Roman" w:cs="Times New Roman"/>
          <w:sz w:val="28"/>
          <w:szCs w:val="28"/>
          <w:lang w:val="en-GB"/>
        </w:rPr>
      </w:pPr>
      <w:r w:rsidRPr="00DC2B90">
        <w:rPr>
          <w:rFonts w:ascii="Times New Roman" w:hAnsi="Times New Roman" w:cs="Times New Roman"/>
          <w:sz w:val="28"/>
          <w:szCs w:val="28"/>
          <w:lang w:val="vi-VN"/>
        </w:rPr>
        <w:t xml:space="preserve">Trên đây là Báo cáo thẩm tra </w:t>
      </w:r>
      <w:r w:rsidRPr="00DC2B90">
        <w:rPr>
          <w:rFonts w:ascii="Times New Roman" w:hAnsi="Times New Roman" w:cs="Times New Roman"/>
          <w:sz w:val="28"/>
          <w:szCs w:val="28"/>
          <w:lang w:val="en-GB"/>
        </w:rPr>
        <w:t xml:space="preserve">tóm tắt </w:t>
      </w:r>
      <w:r w:rsidRPr="00DC2B90">
        <w:rPr>
          <w:rFonts w:ascii="Times New Roman" w:hAnsi="Times New Roman" w:cs="Times New Roman"/>
          <w:sz w:val="28"/>
          <w:szCs w:val="28"/>
          <w:lang w:val="vi-VN"/>
        </w:rPr>
        <w:t xml:space="preserve">Ủy ban Tài chính, Ngân sách về dự án Luật Thuế </w:t>
      </w:r>
      <w:r w:rsidRPr="00DC2B90">
        <w:rPr>
          <w:rFonts w:ascii="Times New Roman" w:hAnsi="Times New Roman" w:cs="Times New Roman"/>
          <w:sz w:val="28"/>
          <w:szCs w:val="28"/>
          <w:lang w:val="en-GB"/>
        </w:rPr>
        <w:t>thu nhập doanh nghiệp</w:t>
      </w:r>
      <w:r w:rsidRPr="00DC2B90">
        <w:rPr>
          <w:rFonts w:ascii="Times New Roman" w:hAnsi="Times New Roman" w:cs="Times New Roman"/>
          <w:sz w:val="28"/>
          <w:szCs w:val="28"/>
          <w:lang w:val="vi-VN"/>
        </w:rPr>
        <w:t xml:space="preserve"> (sửa đổi). Uỷ ban Tài chính, Ngân sách trân trọng báo cáo Quốc hội</w:t>
      </w:r>
      <w:r w:rsidRPr="00DC2B90">
        <w:rPr>
          <w:rFonts w:ascii="Times New Roman" w:hAnsi="Times New Roman" w:cs="Times New Roman"/>
          <w:sz w:val="28"/>
          <w:szCs w:val="28"/>
          <w:lang w:val="en-GB"/>
        </w:rPr>
        <w:t>.</w:t>
      </w:r>
    </w:p>
    <w:p w:rsidR="00025292" w:rsidRPr="00DC2B90" w:rsidRDefault="00025292" w:rsidP="00025292">
      <w:pPr>
        <w:widowControl w:val="0"/>
        <w:spacing w:after="0" w:line="240" w:lineRule="auto"/>
        <w:jc w:val="right"/>
        <w:rPr>
          <w:rFonts w:ascii="Times New Roman" w:eastAsia="Times New Roman" w:hAnsi="Times New Roman" w:cs="Times New Roman"/>
          <w:b/>
          <w:sz w:val="26"/>
          <w:szCs w:val="28"/>
          <w:lang w:val="pt-BR" w:eastAsia="vi-VN"/>
        </w:rPr>
      </w:pPr>
    </w:p>
    <w:p w:rsidR="00025292" w:rsidRPr="00DC2B90" w:rsidRDefault="00025292" w:rsidP="00025292">
      <w:pPr>
        <w:widowControl w:val="0"/>
        <w:spacing w:after="0" w:line="240" w:lineRule="auto"/>
        <w:jc w:val="right"/>
        <w:rPr>
          <w:rFonts w:ascii="Times New Roman" w:eastAsia="Times New Roman" w:hAnsi="Times New Roman" w:cs="Times New Roman"/>
          <w:b/>
          <w:sz w:val="26"/>
          <w:szCs w:val="28"/>
          <w:lang w:val="pt-BR" w:eastAsia="vi-VN"/>
        </w:rPr>
      </w:pPr>
      <w:r w:rsidRPr="00DC2B90">
        <w:rPr>
          <w:rFonts w:ascii="Times New Roman" w:eastAsia="Times New Roman" w:hAnsi="Times New Roman" w:cs="Times New Roman"/>
          <w:b/>
          <w:sz w:val="26"/>
          <w:szCs w:val="28"/>
          <w:lang w:val="pt-BR" w:eastAsia="vi-VN"/>
        </w:rPr>
        <w:t>ỦY BAN TÀI CHÍNH, NGÂN SÁCH</w:t>
      </w:r>
    </w:p>
    <w:p w:rsidR="00025292" w:rsidRPr="00DC2B90" w:rsidRDefault="00025292" w:rsidP="00025292">
      <w:pPr>
        <w:spacing w:before="40" w:after="40" w:line="288" w:lineRule="auto"/>
        <w:ind w:firstLine="720"/>
        <w:jc w:val="right"/>
        <w:rPr>
          <w:rFonts w:ascii="Times New Roman" w:hAnsi="Times New Roman" w:cs="Times New Roman"/>
          <w:sz w:val="28"/>
          <w:szCs w:val="28"/>
          <w:lang w:val="nl-NL"/>
        </w:rPr>
      </w:pPr>
    </w:p>
    <w:p w:rsidR="00025292" w:rsidRPr="00DC2B90" w:rsidRDefault="00025292" w:rsidP="00025292">
      <w:pPr>
        <w:spacing w:before="60" w:after="60" w:line="360" w:lineRule="exact"/>
        <w:ind w:firstLine="567"/>
        <w:jc w:val="both"/>
        <w:rPr>
          <w:rFonts w:ascii="Times New Roman" w:eastAsia="Times New Roman" w:hAnsi="Times New Roman" w:cs="Times New Roman"/>
          <w:sz w:val="28"/>
          <w:szCs w:val="28"/>
          <w:lang w:val="nl-NL"/>
        </w:rPr>
      </w:pPr>
    </w:p>
    <w:tbl>
      <w:tblPr>
        <w:tblW w:w="0" w:type="auto"/>
        <w:tblLook w:val="01E0" w:firstRow="1" w:lastRow="1" w:firstColumn="1" w:lastColumn="1" w:noHBand="0" w:noVBand="0"/>
      </w:tblPr>
      <w:tblGrid>
        <w:gridCol w:w="8850"/>
        <w:gridCol w:w="221"/>
      </w:tblGrid>
      <w:tr w:rsidR="00DC2B90" w:rsidRPr="00DC2B90" w:rsidTr="005B5BAD">
        <w:tc>
          <w:tcPr>
            <w:tcW w:w="4188" w:type="dxa"/>
          </w:tcPr>
          <w:tbl>
            <w:tblPr>
              <w:tblW w:w="9560" w:type="dxa"/>
              <w:tblLook w:val="01E0" w:firstRow="1" w:lastRow="1" w:firstColumn="1" w:lastColumn="1" w:noHBand="0" w:noVBand="0"/>
            </w:tblPr>
            <w:tblGrid>
              <w:gridCol w:w="3119"/>
              <w:gridCol w:w="6441"/>
            </w:tblGrid>
            <w:tr w:rsidR="00DC2B90" w:rsidRPr="00DC2B90" w:rsidTr="005B5BAD">
              <w:tc>
                <w:tcPr>
                  <w:tcW w:w="3119" w:type="dxa"/>
                </w:tcPr>
                <w:p w:rsidR="00025292" w:rsidRPr="00DC2B90" w:rsidRDefault="00025292" w:rsidP="005B5BAD">
                  <w:pPr>
                    <w:widowControl w:val="0"/>
                    <w:tabs>
                      <w:tab w:val="left" w:pos="426"/>
                    </w:tabs>
                    <w:spacing w:after="0" w:line="240" w:lineRule="auto"/>
                    <w:ind w:left="-216" w:firstLine="108"/>
                    <w:jc w:val="both"/>
                    <w:rPr>
                      <w:rFonts w:ascii="Times New Roman" w:eastAsia="Arial" w:hAnsi="Times New Roman" w:cs="Times New Roman"/>
                      <w:noProof/>
                      <w:sz w:val="28"/>
                      <w:szCs w:val="28"/>
                      <w:lang w:val="pt-BR"/>
                    </w:rPr>
                  </w:pPr>
                  <w:r w:rsidRPr="00DC2B90">
                    <w:rPr>
                      <w:rFonts w:ascii="Times New Roman" w:eastAsia="Arial" w:hAnsi="Times New Roman" w:cs="Times New Roman"/>
                      <w:noProof/>
                      <w:szCs w:val="28"/>
                      <w:lang w:val="pt-BR"/>
                    </w:rPr>
                    <w:t xml:space="preserve"> </w:t>
                  </w:r>
                </w:p>
              </w:tc>
              <w:tc>
                <w:tcPr>
                  <w:tcW w:w="6441" w:type="dxa"/>
                </w:tcPr>
                <w:p w:rsidR="00025292" w:rsidRPr="00DC2B90" w:rsidRDefault="00025292" w:rsidP="005B5BAD">
                  <w:pPr>
                    <w:widowControl w:val="0"/>
                    <w:tabs>
                      <w:tab w:val="left" w:pos="1250"/>
                      <w:tab w:val="center" w:pos="3112"/>
                    </w:tabs>
                    <w:spacing w:after="0" w:line="240" w:lineRule="auto"/>
                    <w:jc w:val="center"/>
                    <w:rPr>
                      <w:rFonts w:ascii="Times New Roman" w:eastAsia="Times New Roman" w:hAnsi="Times New Roman" w:cs="Times New Roman"/>
                      <w:b/>
                      <w:sz w:val="28"/>
                      <w:szCs w:val="28"/>
                      <w:lang w:val="pt-BR" w:eastAsia="vi-VN"/>
                    </w:rPr>
                  </w:pPr>
                </w:p>
              </w:tc>
            </w:tr>
          </w:tbl>
          <w:p w:rsidR="00025292" w:rsidRPr="00DC2B90" w:rsidRDefault="00025292" w:rsidP="005B5BAD">
            <w:pPr>
              <w:widowControl w:val="0"/>
              <w:jc w:val="center"/>
              <w:rPr>
                <w:rFonts w:ascii="Times New Roman" w:eastAsia="Arial" w:hAnsi="Times New Roman" w:cs="Times New Roman"/>
                <w:noProof/>
                <w:lang w:val="pt-BR"/>
              </w:rPr>
            </w:pPr>
          </w:p>
        </w:tc>
        <w:tc>
          <w:tcPr>
            <w:tcW w:w="5040" w:type="dxa"/>
          </w:tcPr>
          <w:p w:rsidR="00025292" w:rsidRPr="00DC2B90" w:rsidRDefault="00025292" w:rsidP="005B5BAD">
            <w:pPr>
              <w:widowControl w:val="0"/>
              <w:rPr>
                <w:rFonts w:ascii="Times New Roman" w:eastAsia="Arial" w:hAnsi="Times New Roman" w:cs="Times New Roman"/>
                <w:noProof/>
                <w:lang w:val="pt-BR"/>
              </w:rPr>
            </w:pPr>
          </w:p>
        </w:tc>
      </w:tr>
    </w:tbl>
    <w:p w:rsidR="00025292" w:rsidRPr="00DC2B90" w:rsidRDefault="00025292" w:rsidP="00025292">
      <w:pPr>
        <w:spacing w:before="120" w:after="0" w:line="360" w:lineRule="exact"/>
        <w:jc w:val="both"/>
        <w:rPr>
          <w:rFonts w:ascii="Times New Roman" w:hAnsi="Times New Roman" w:cs="Times New Roman"/>
          <w:bCs/>
          <w:i/>
          <w:iCs/>
          <w:sz w:val="28"/>
          <w:szCs w:val="28"/>
          <w:lang w:val="vi-VN"/>
        </w:rPr>
      </w:pPr>
    </w:p>
    <w:p w:rsidR="00025292" w:rsidRPr="00DC2B90" w:rsidRDefault="00025292" w:rsidP="00025292">
      <w:pPr>
        <w:spacing w:after="80" w:line="380" w:lineRule="exact"/>
        <w:jc w:val="both"/>
        <w:rPr>
          <w:rFonts w:ascii="Times New Roman" w:eastAsia="Arial" w:hAnsi="Times New Roman" w:cs="Times New Roman"/>
          <w:noProof/>
          <w:lang w:val="nl-NL"/>
        </w:rPr>
      </w:pPr>
    </w:p>
    <w:p w:rsidR="00F65E36" w:rsidRPr="00DC2B90" w:rsidRDefault="00F65E36">
      <w:pPr>
        <w:rPr>
          <w:rFonts w:ascii="Times New Roman" w:hAnsi="Times New Roman" w:cs="Times New Roman"/>
        </w:rPr>
      </w:pPr>
    </w:p>
    <w:sectPr w:rsidR="00F65E36" w:rsidRPr="00DC2B90" w:rsidSect="00F83D60">
      <w:headerReference w:type="default" r:id="rId4"/>
      <w:pgSz w:w="11906" w:h="16838" w:code="9"/>
      <w:pgMar w:top="1134" w:right="1134" w:bottom="1134" w:left="1701" w:header="510" w:footer="51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41931250"/>
      <w:docPartObj>
        <w:docPartGallery w:val="Page Numbers (Top of Page)"/>
        <w:docPartUnique/>
      </w:docPartObj>
    </w:sdtPr>
    <w:sdtEndPr>
      <w:rPr>
        <w:noProof/>
      </w:rPr>
    </w:sdtEndPr>
    <w:sdtContent>
      <w:p w:rsidR="0040006C" w:rsidRPr="00563B3C" w:rsidRDefault="00DC2B90">
        <w:pPr>
          <w:pStyle w:val="Header"/>
          <w:jc w:val="center"/>
          <w:rPr>
            <w:rFonts w:ascii="Times New Roman" w:hAnsi="Times New Roman" w:cs="Times New Roman"/>
          </w:rPr>
        </w:pPr>
        <w:r w:rsidRPr="00563B3C">
          <w:rPr>
            <w:rFonts w:ascii="Times New Roman" w:hAnsi="Times New Roman" w:cs="Times New Roman"/>
          </w:rPr>
          <w:fldChar w:fldCharType="begin"/>
        </w:r>
        <w:r w:rsidRPr="00563B3C">
          <w:rPr>
            <w:rFonts w:ascii="Times New Roman" w:hAnsi="Times New Roman" w:cs="Times New Roman"/>
          </w:rPr>
          <w:instrText xml:space="preserve"> PAGE   \* MERGEFORMAT </w:instrText>
        </w:r>
        <w:r w:rsidRPr="00563B3C">
          <w:rPr>
            <w:rFonts w:ascii="Times New Roman" w:hAnsi="Times New Roman" w:cs="Times New Roman"/>
          </w:rPr>
          <w:fldChar w:fldCharType="separate"/>
        </w:r>
        <w:r>
          <w:rPr>
            <w:rFonts w:ascii="Times New Roman" w:hAnsi="Times New Roman" w:cs="Times New Roman"/>
            <w:noProof/>
          </w:rPr>
          <w:t>5</w:t>
        </w:r>
        <w:r w:rsidRPr="00563B3C">
          <w:rPr>
            <w:rFonts w:ascii="Times New Roman" w:hAnsi="Times New Roman" w:cs="Times New Roman"/>
            <w:noProof/>
          </w:rPr>
          <w:fldChar w:fldCharType="end"/>
        </w:r>
      </w:p>
    </w:sdtContent>
  </w:sdt>
  <w:p w:rsidR="00AA2A3E" w:rsidRDefault="00DC2B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92"/>
    <w:rsid w:val="00025292"/>
    <w:rsid w:val="00B01B2E"/>
    <w:rsid w:val="00DB10D9"/>
    <w:rsid w:val="00DC2B90"/>
    <w:rsid w:val="00F6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FC742-D1A3-4E27-A430-821B18B9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2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292"/>
    <w:rPr>
      <w:lang w:val="en-US"/>
    </w:rPr>
  </w:style>
  <w:style w:type="paragraph" w:customStyle="1" w:styleId="s16">
    <w:name w:val="s16"/>
    <w:basedOn w:val="Normal"/>
    <w:rsid w:val="00025292"/>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5A413-B7D1-4B8E-A36C-23FCC0CAD10F}"/>
</file>

<file path=customXml/itemProps2.xml><?xml version="1.0" encoding="utf-8"?>
<ds:datastoreItem xmlns:ds="http://schemas.openxmlformats.org/officeDocument/2006/customXml" ds:itemID="{9C61F9E0-9E00-4DF4-9943-126F6D6ECFCC}"/>
</file>

<file path=customXml/itemProps3.xml><?xml version="1.0" encoding="utf-8"?>
<ds:datastoreItem xmlns:ds="http://schemas.openxmlformats.org/officeDocument/2006/customXml" ds:itemID="{AB31623E-9843-4D84-A350-D82D4C525D56}"/>
</file>

<file path=docProps/app.xml><?xml version="1.0" encoding="utf-8"?>
<Properties xmlns="http://schemas.openxmlformats.org/officeDocument/2006/extended-properties" xmlns:vt="http://schemas.openxmlformats.org/officeDocument/2006/docPropsVTypes">
  <Template>Normal.dotm</Template>
  <TotalTime>0</TotalTime>
  <Pages>5</Pages>
  <Words>1557</Words>
  <Characters>8875</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2024-11-21T12:15:00Z</dcterms:created>
  <dcterms:modified xsi:type="dcterms:W3CDTF">2024-11-21T12:15:00Z</dcterms:modified>
</cp:coreProperties>
</file>